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55" w:rsidRDefault="00C75655" w:rsidP="00C75655">
      <w:pPr>
        <w:spacing w:after="0" w:line="240" w:lineRule="auto"/>
        <w:jc w:val="center"/>
        <w:rPr>
          <w:rFonts w:ascii="Gill Sans MT" w:hAnsi="Gill Sans MT"/>
          <w:b/>
          <w:bCs/>
          <w:color w:val="2F5496" w:themeColor="accent5" w:themeShade="BF"/>
          <w:sz w:val="40"/>
          <w:szCs w:val="40"/>
        </w:rPr>
      </w:pPr>
      <w:r w:rsidRPr="00C75655">
        <w:rPr>
          <w:rFonts w:ascii="Gill Sans MT" w:hAnsi="Gill Sans MT"/>
          <w:b/>
          <w:bCs/>
          <w:color w:val="2F5496" w:themeColor="accent5" w:themeShade="BF"/>
          <w:sz w:val="40"/>
          <w:szCs w:val="40"/>
        </w:rPr>
        <w:t>Context Indicators</w:t>
      </w:r>
    </w:p>
    <w:p w:rsidR="00892CBD" w:rsidRDefault="00892CBD" w:rsidP="00C75655">
      <w:pPr>
        <w:spacing w:after="0" w:line="240" w:lineRule="auto"/>
        <w:jc w:val="center"/>
        <w:rPr>
          <w:rFonts w:ascii="Gill Sans MT" w:hAnsi="Gill Sans MT"/>
          <w:b/>
          <w:bCs/>
          <w:color w:val="2F5496" w:themeColor="accent5" w:themeShade="BF"/>
          <w:sz w:val="28"/>
          <w:szCs w:val="28"/>
        </w:rPr>
      </w:pPr>
      <w:r w:rsidRPr="00892CBD">
        <w:rPr>
          <w:rFonts w:ascii="Gill Sans MT" w:hAnsi="Gill Sans MT"/>
          <w:b/>
          <w:bCs/>
          <w:color w:val="2F5496" w:themeColor="accent5" w:themeShade="BF"/>
          <w:sz w:val="28"/>
          <w:szCs w:val="28"/>
        </w:rPr>
        <w:t>Types and common sources</w:t>
      </w:r>
    </w:p>
    <w:p w:rsidR="00892CBD" w:rsidRPr="00892CBD" w:rsidRDefault="00892CBD" w:rsidP="00C75655">
      <w:pPr>
        <w:spacing w:after="0" w:line="240" w:lineRule="auto"/>
        <w:jc w:val="center"/>
        <w:rPr>
          <w:rFonts w:ascii="Gill Sans MT" w:hAnsi="Gill Sans MT"/>
          <w:b/>
          <w:bCs/>
          <w:color w:val="2F5496" w:themeColor="accent5" w:themeShade="BF"/>
          <w:sz w:val="12"/>
          <w:szCs w:val="12"/>
        </w:rPr>
      </w:pPr>
    </w:p>
    <w:p w:rsidR="00C75655" w:rsidRPr="00892CBD" w:rsidRDefault="00A04223" w:rsidP="00C75655">
      <w:pPr>
        <w:spacing w:after="0" w:line="240" w:lineRule="auto"/>
        <w:jc w:val="center"/>
        <w:rPr>
          <w:rFonts w:ascii="Gill Sans MT" w:hAnsi="Gill Sans MT"/>
          <w:b/>
          <w:bCs/>
          <w:i/>
          <w:iCs/>
          <w:color w:val="000000" w:themeColor="text1"/>
          <w:sz w:val="24"/>
          <w:szCs w:val="24"/>
        </w:rPr>
      </w:pPr>
      <w:r>
        <w:rPr>
          <w:rFonts w:ascii="Gill Sans MT" w:hAnsi="Gill Sans MT"/>
          <w:b/>
          <w:bCs/>
          <w:i/>
          <w:iCs/>
          <w:color w:val="000000" w:themeColor="text1"/>
          <w:sz w:val="24"/>
          <w:szCs w:val="24"/>
        </w:rPr>
        <w:t>Source:</w:t>
      </w:r>
      <w:bookmarkStart w:id="0" w:name="_GoBack"/>
      <w:bookmarkEnd w:id="0"/>
      <w:r w:rsidR="00C75655" w:rsidRPr="00892CBD">
        <w:rPr>
          <w:rFonts w:ascii="Gill Sans MT" w:hAnsi="Gill Sans MT"/>
          <w:b/>
          <w:bCs/>
          <w:i/>
          <w:iCs/>
          <w:color w:val="000000" w:themeColor="text1"/>
          <w:sz w:val="24"/>
          <w:szCs w:val="24"/>
        </w:rPr>
        <w:t xml:space="preserve"> PMP Tool Kit</w:t>
      </w:r>
    </w:p>
    <w:p w:rsidR="00C75655" w:rsidRDefault="00C75655" w:rsidP="00C75655">
      <w:pPr>
        <w:spacing w:after="0" w:line="240" w:lineRule="auto"/>
        <w:jc w:val="center"/>
        <w:rPr>
          <w:rFonts w:ascii="Gill Sans MT" w:hAnsi="Gill Sans MT"/>
          <w:b/>
          <w:bCs/>
          <w:sz w:val="24"/>
          <w:szCs w:val="24"/>
        </w:rPr>
      </w:pPr>
    </w:p>
    <w:p w:rsidR="00892CBD" w:rsidRPr="00C75655" w:rsidRDefault="00892CBD" w:rsidP="00C75655">
      <w:pPr>
        <w:spacing w:after="0" w:line="240" w:lineRule="auto"/>
        <w:jc w:val="center"/>
        <w:rPr>
          <w:rFonts w:ascii="Gill Sans MT" w:hAnsi="Gill Sans MT"/>
          <w:b/>
          <w:bCs/>
          <w:sz w:val="24"/>
          <w:szCs w:val="24"/>
        </w:rPr>
      </w:pPr>
    </w:p>
    <w:tbl>
      <w:tblPr>
        <w:tblW w:w="99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3330"/>
        <w:gridCol w:w="2610"/>
      </w:tblGrid>
      <w:tr w:rsidR="00D84FF6" w:rsidRPr="00C75655" w:rsidTr="00D84FF6">
        <w:trPr>
          <w:trHeight w:val="242"/>
        </w:trPr>
        <w:tc>
          <w:tcPr>
            <w:tcW w:w="1710" w:type="dxa"/>
          </w:tcPr>
          <w:p w:rsidR="000B1E8F" w:rsidRPr="00C75655" w:rsidRDefault="000B1E8F">
            <w:pPr>
              <w:pStyle w:val="Default"/>
              <w:rPr>
                <w:sz w:val="22"/>
                <w:szCs w:val="22"/>
              </w:rPr>
            </w:pPr>
            <w:r w:rsidRPr="00C75655">
              <w:rPr>
                <w:b/>
                <w:bCs/>
                <w:sz w:val="22"/>
                <w:szCs w:val="22"/>
              </w:rPr>
              <w:t xml:space="preserve">Type </w:t>
            </w:r>
          </w:p>
        </w:tc>
        <w:tc>
          <w:tcPr>
            <w:tcW w:w="2340" w:type="dxa"/>
          </w:tcPr>
          <w:p w:rsidR="000B1E8F" w:rsidRPr="00C75655" w:rsidRDefault="000B1E8F">
            <w:pPr>
              <w:pStyle w:val="Default"/>
              <w:rPr>
                <w:sz w:val="22"/>
                <w:szCs w:val="22"/>
              </w:rPr>
            </w:pPr>
            <w:r w:rsidRPr="00C75655">
              <w:rPr>
                <w:b/>
                <w:bCs/>
                <w:sz w:val="22"/>
                <w:szCs w:val="22"/>
              </w:rPr>
              <w:t xml:space="preserve">Definition </w:t>
            </w:r>
          </w:p>
        </w:tc>
        <w:tc>
          <w:tcPr>
            <w:tcW w:w="3330" w:type="dxa"/>
          </w:tcPr>
          <w:p w:rsidR="000B1E8F" w:rsidRPr="00C75655" w:rsidRDefault="000B1E8F">
            <w:pPr>
              <w:pStyle w:val="Default"/>
              <w:rPr>
                <w:sz w:val="22"/>
                <w:szCs w:val="22"/>
              </w:rPr>
            </w:pPr>
            <w:r w:rsidRPr="00C75655">
              <w:rPr>
                <w:b/>
                <w:bCs/>
                <w:sz w:val="22"/>
                <w:szCs w:val="22"/>
              </w:rPr>
              <w:t xml:space="preserve">Situations for which a context indicator may be appropriate </w:t>
            </w:r>
          </w:p>
        </w:tc>
        <w:tc>
          <w:tcPr>
            <w:tcW w:w="2610" w:type="dxa"/>
          </w:tcPr>
          <w:p w:rsidR="000B1E8F" w:rsidRPr="00C75655" w:rsidRDefault="000B1E8F">
            <w:pPr>
              <w:pStyle w:val="Default"/>
              <w:rPr>
                <w:sz w:val="22"/>
                <w:szCs w:val="22"/>
              </w:rPr>
            </w:pPr>
            <w:r w:rsidRPr="00C75655">
              <w:rPr>
                <w:b/>
                <w:bCs/>
                <w:sz w:val="22"/>
                <w:szCs w:val="22"/>
              </w:rPr>
              <w:t xml:space="preserve">Possible indicators </w:t>
            </w:r>
          </w:p>
        </w:tc>
      </w:tr>
      <w:tr w:rsidR="00D84FF6" w:rsidRPr="00C75655" w:rsidTr="00D84FF6">
        <w:trPr>
          <w:trHeight w:val="1155"/>
        </w:trPr>
        <w:tc>
          <w:tcPr>
            <w:tcW w:w="1710" w:type="dxa"/>
          </w:tcPr>
          <w:p w:rsidR="000B1E8F" w:rsidRPr="00C75655" w:rsidRDefault="000B1E8F">
            <w:pPr>
              <w:pStyle w:val="Default"/>
              <w:rPr>
                <w:sz w:val="22"/>
                <w:szCs w:val="22"/>
              </w:rPr>
            </w:pPr>
            <w:r w:rsidRPr="00C75655">
              <w:rPr>
                <w:sz w:val="22"/>
                <w:szCs w:val="22"/>
              </w:rPr>
              <w:t xml:space="preserve">Country Context </w:t>
            </w:r>
          </w:p>
        </w:tc>
        <w:tc>
          <w:tcPr>
            <w:tcW w:w="2340" w:type="dxa"/>
          </w:tcPr>
          <w:p w:rsidR="000B1E8F" w:rsidRPr="00C75655" w:rsidRDefault="000B1E8F">
            <w:pPr>
              <w:pStyle w:val="Default"/>
              <w:rPr>
                <w:sz w:val="22"/>
                <w:szCs w:val="22"/>
              </w:rPr>
            </w:pPr>
            <w:r w:rsidRPr="00C75655">
              <w:rPr>
                <w:sz w:val="22"/>
                <w:szCs w:val="22"/>
              </w:rPr>
              <w:t xml:space="preserve">Measure conditions relevant to the performance of the CDCS and projects, such as macroeconomic, social, and political conditions that are beyond the management control of the Mission and its partners. </w:t>
            </w:r>
          </w:p>
        </w:tc>
        <w:tc>
          <w:tcPr>
            <w:tcW w:w="3330" w:type="dxa"/>
          </w:tcPr>
          <w:p w:rsidR="000B1E8F" w:rsidRPr="00C75655" w:rsidRDefault="000B1E8F">
            <w:pPr>
              <w:pStyle w:val="Default"/>
              <w:rPr>
                <w:sz w:val="22"/>
                <w:szCs w:val="22"/>
              </w:rPr>
            </w:pPr>
            <w:r w:rsidRPr="00C75655">
              <w:rPr>
                <w:sz w:val="22"/>
                <w:szCs w:val="22"/>
              </w:rPr>
              <w:t xml:space="preserve">Depending on the country, there are a number of context factors that the Mission may want to track. For example, in a country which is highly dependent on natural resource extraction, a decline in global commodity prices could change the country’s macroeconomic context and have a direct bearing on the Mission’s economic growth programming. </w:t>
            </w:r>
          </w:p>
          <w:p w:rsidR="00D84FF6" w:rsidRPr="00C75655" w:rsidRDefault="00D84FF6">
            <w:pPr>
              <w:pStyle w:val="Default"/>
              <w:rPr>
                <w:sz w:val="22"/>
                <w:szCs w:val="22"/>
              </w:rPr>
            </w:pPr>
          </w:p>
        </w:tc>
        <w:tc>
          <w:tcPr>
            <w:tcW w:w="2610" w:type="dxa"/>
          </w:tcPr>
          <w:p w:rsidR="000B1E8F" w:rsidRPr="00C75655" w:rsidRDefault="000B1E8F">
            <w:pPr>
              <w:pStyle w:val="Default"/>
              <w:rPr>
                <w:sz w:val="22"/>
                <w:szCs w:val="22"/>
              </w:rPr>
            </w:pPr>
            <w:r w:rsidRPr="00C75655">
              <w:rPr>
                <w:sz w:val="22"/>
                <w:szCs w:val="22"/>
              </w:rPr>
              <w:t xml:space="preserve">Global Commodity Prices (for relevant commodities), Export of Relevant Commodity as a Percent of GDP </w:t>
            </w:r>
          </w:p>
        </w:tc>
      </w:tr>
      <w:tr w:rsidR="00D84FF6" w:rsidRPr="00C75655" w:rsidTr="00D84FF6">
        <w:trPr>
          <w:trHeight w:val="738"/>
        </w:trPr>
        <w:tc>
          <w:tcPr>
            <w:tcW w:w="1710" w:type="dxa"/>
          </w:tcPr>
          <w:p w:rsidR="000B1E8F" w:rsidRPr="00C75655" w:rsidRDefault="000B1E8F">
            <w:pPr>
              <w:pStyle w:val="Default"/>
              <w:rPr>
                <w:sz w:val="22"/>
                <w:szCs w:val="22"/>
              </w:rPr>
            </w:pPr>
            <w:r w:rsidRPr="00C75655">
              <w:rPr>
                <w:sz w:val="22"/>
                <w:szCs w:val="22"/>
              </w:rPr>
              <w:t xml:space="preserve">Assumption </w:t>
            </w:r>
          </w:p>
        </w:tc>
        <w:tc>
          <w:tcPr>
            <w:tcW w:w="2340" w:type="dxa"/>
          </w:tcPr>
          <w:p w:rsidR="000B1E8F" w:rsidRPr="00C75655" w:rsidRDefault="000B1E8F">
            <w:pPr>
              <w:pStyle w:val="Default"/>
              <w:rPr>
                <w:sz w:val="22"/>
                <w:szCs w:val="22"/>
              </w:rPr>
            </w:pPr>
            <w:r w:rsidRPr="00C75655">
              <w:rPr>
                <w:sz w:val="22"/>
                <w:szCs w:val="22"/>
              </w:rPr>
              <w:t xml:space="preserve">A general condition that must hold true in order to achieve the project or R/CDCS results. They are outside of the control or influence of USAID and its partners. </w:t>
            </w:r>
          </w:p>
        </w:tc>
        <w:tc>
          <w:tcPr>
            <w:tcW w:w="3330" w:type="dxa"/>
          </w:tcPr>
          <w:p w:rsidR="000B1E8F" w:rsidRPr="00C75655" w:rsidRDefault="000B1E8F">
            <w:pPr>
              <w:pStyle w:val="Default"/>
              <w:rPr>
                <w:sz w:val="22"/>
                <w:szCs w:val="22"/>
              </w:rPr>
            </w:pPr>
            <w:r w:rsidRPr="00C75655">
              <w:rPr>
                <w:sz w:val="22"/>
                <w:szCs w:val="22"/>
              </w:rPr>
              <w:t xml:space="preserve">Every year flooding affects certain provinces; while USAID programming accounts for seasonal flooding, it assumes that flooding will remain contained to select provinces and not significantly deviate from levels observed over the past five years. </w:t>
            </w:r>
          </w:p>
          <w:p w:rsidR="00D84FF6" w:rsidRPr="00C75655" w:rsidRDefault="00D84FF6">
            <w:pPr>
              <w:pStyle w:val="Default"/>
              <w:rPr>
                <w:sz w:val="22"/>
                <w:szCs w:val="22"/>
              </w:rPr>
            </w:pPr>
          </w:p>
        </w:tc>
        <w:tc>
          <w:tcPr>
            <w:tcW w:w="2610" w:type="dxa"/>
          </w:tcPr>
          <w:p w:rsidR="000B1E8F" w:rsidRPr="00C75655" w:rsidRDefault="000B1E8F">
            <w:pPr>
              <w:pStyle w:val="Default"/>
              <w:rPr>
                <w:sz w:val="22"/>
                <w:szCs w:val="22"/>
              </w:rPr>
            </w:pPr>
            <w:r w:rsidRPr="00C75655">
              <w:rPr>
                <w:sz w:val="22"/>
                <w:szCs w:val="22"/>
              </w:rPr>
              <w:t xml:space="preserve">Peak Over Threshold (POT); Areal Flood Index (total inundated area); Data from the National Water Development Board (NWDB) </w:t>
            </w:r>
          </w:p>
        </w:tc>
      </w:tr>
      <w:tr w:rsidR="00D84FF6" w:rsidRPr="00C75655" w:rsidTr="00D84FF6">
        <w:trPr>
          <w:trHeight w:val="900"/>
        </w:trPr>
        <w:tc>
          <w:tcPr>
            <w:tcW w:w="1710" w:type="dxa"/>
          </w:tcPr>
          <w:p w:rsidR="000B1E8F" w:rsidRPr="00C75655" w:rsidRDefault="000B1E8F">
            <w:pPr>
              <w:pStyle w:val="Default"/>
              <w:rPr>
                <w:sz w:val="22"/>
                <w:szCs w:val="22"/>
              </w:rPr>
            </w:pPr>
            <w:r w:rsidRPr="00C75655">
              <w:rPr>
                <w:sz w:val="22"/>
                <w:szCs w:val="22"/>
              </w:rPr>
              <w:t xml:space="preserve">Game-Changer </w:t>
            </w:r>
          </w:p>
        </w:tc>
        <w:tc>
          <w:tcPr>
            <w:tcW w:w="2340" w:type="dxa"/>
          </w:tcPr>
          <w:p w:rsidR="000B1E8F" w:rsidRPr="00C75655" w:rsidRDefault="000B1E8F">
            <w:pPr>
              <w:pStyle w:val="Default"/>
              <w:rPr>
                <w:sz w:val="22"/>
                <w:szCs w:val="22"/>
              </w:rPr>
            </w:pPr>
            <w:r w:rsidRPr="00C75655">
              <w:rPr>
                <w:sz w:val="22"/>
                <w:szCs w:val="22"/>
              </w:rPr>
              <w:t xml:space="preserve">A newly introduced element or factor that changes an existing context or project in a significant way. These are outside of the control of the USG and its partners. </w:t>
            </w:r>
          </w:p>
        </w:tc>
        <w:tc>
          <w:tcPr>
            <w:tcW w:w="3330" w:type="dxa"/>
          </w:tcPr>
          <w:p w:rsidR="000B1E8F" w:rsidRPr="00C75655" w:rsidRDefault="000B1E8F">
            <w:pPr>
              <w:pStyle w:val="Default"/>
              <w:rPr>
                <w:sz w:val="22"/>
                <w:szCs w:val="22"/>
              </w:rPr>
            </w:pPr>
            <w:r w:rsidRPr="00C75655">
              <w:rPr>
                <w:sz w:val="22"/>
                <w:szCs w:val="22"/>
              </w:rPr>
              <w:t xml:space="preserve">Recently discovered natural oil and gas will have such volume that potential revenue generation is expected to have significant implications for growth, public service delivery and employment and introduce opportunities for rent-seeking behavior at all levels of society. </w:t>
            </w:r>
          </w:p>
          <w:p w:rsidR="00D84FF6" w:rsidRPr="00C75655" w:rsidRDefault="00D84FF6">
            <w:pPr>
              <w:pStyle w:val="Default"/>
              <w:rPr>
                <w:sz w:val="22"/>
                <w:szCs w:val="22"/>
              </w:rPr>
            </w:pPr>
          </w:p>
        </w:tc>
        <w:tc>
          <w:tcPr>
            <w:tcW w:w="2610" w:type="dxa"/>
          </w:tcPr>
          <w:p w:rsidR="000B1E8F" w:rsidRPr="00C75655" w:rsidRDefault="000B1E8F">
            <w:pPr>
              <w:pStyle w:val="Default"/>
              <w:rPr>
                <w:sz w:val="22"/>
                <w:szCs w:val="22"/>
              </w:rPr>
            </w:pPr>
            <w:r w:rsidRPr="00C75655">
              <w:rPr>
                <w:sz w:val="22"/>
                <w:szCs w:val="22"/>
              </w:rPr>
              <w:t xml:space="preserve">Annual Social Services budget as a percent of GNP; Annual Ministry of Petroleum budget as a percentage of GNP </w:t>
            </w:r>
          </w:p>
        </w:tc>
      </w:tr>
      <w:tr w:rsidR="00D84FF6" w:rsidRPr="00C75655" w:rsidTr="00D84FF6">
        <w:trPr>
          <w:trHeight w:val="611"/>
        </w:trPr>
        <w:tc>
          <w:tcPr>
            <w:tcW w:w="1710" w:type="dxa"/>
          </w:tcPr>
          <w:p w:rsidR="000B1E8F" w:rsidRPr="00C75655" w:rsidRDefault="000B1E8F">
            <w:pPr>
              <w:pStyle w:val="Default"/>
              <w:rPr>
                <w:sz w:val="22"/>
                <w:szCs w:val="22"/>
              </w:rPr>
            </w:pPr>
            <w:r w:rsidRPr="00C75655">
              <w:rPr>
                <w:sz w:val="22"/>
                <w:szCs w:val="22"/>
              </w:rPr>
              <w:t xml:space="preserve">Risk </w:t>
            </w:r>
          </w:p>
        </w:tc>
        <w:tc>
          <w:tcPr>
            <w:tcW w:w="2340" w:type="dxa"/>
          </w:tcPr>
          <w:p w:rsidR="000B1E8F" w:rsidRPr="00C75655" w:rsidRDefault="000B1E8F">
            <w:pPr>
              <w:pStyle w:val="Default"/>
              <w:rPr>
                <w:sz w:val="22"/>
                <w:szCs w:val="22"/>
              </w:rPr>
            </w:pPr>
            <w:r w:rsidRPr="00C75655">
              <w:rPr>
                <w:sz w:val="22"/>
                <w:szCs w:val="22"/>
              </w:rPr>
              <w:t xml:space="preserve">A condition that could negatively influence program outcomes. </w:t>
            </w:r>
          </w:p>
        </w:tc>
        <w:tc>
          <w:tcPr>
            <w:tcW w:w="3330" w:type="dxa"/>
          </w:tcPr>
          <w:p w:rsidR="000B1E8F" w:rsidRPr="00C75655" w:rsidRDefault="000B1E8F">
            <w:pPr>
              <w:pStyle w:val="Default"/>
              <w:rPr>
                <w:sz w:val="22"/>
                <w:szCs w:val="22"/>
              </w:rPr>
            </w:pPr>
            <w:r w:rsidRPr="00C75655">
              <w:rPr>
                <w:sz w:val="22"/>
                <w:szCs w:val="22"/>
              </w:rPr>
              <w:t xml:space="preserve">Large-scale ethnic conflict that could surpass the international community’s capacity to manage or contain the conflict. </w:t>
            </w:r>
          </w:p>
        </w:tc>
        <w:tc>
          <w:tcPr>
            <w:tcW w:w="2610" w:type="dxa"/>
          </w:tcPr>
          <w:p w:rsidR="000B1E8F" w:rsidRPr="00C75655" w:rsidRDefault="000B1E8F">
            <w:pPr>
              <w:pStyle w:val="Default"/>
              <w:rPr>
                <w:sz w:val="22"/>
                <w:szCs w:val="22"/>
              </w:rPr>
            </w:pPr>
            <w:r w:rsidRPr="00C75655">
              <w:rPr>
                <w:sz w:val="22"/>
                <w:szCs w:val="22"/>
              </w:rPr>
              <w:t xml:space="preserve">Percentage of population located in conflict areas; percentage of new international appeals for funding not fulfilled in 3 months; rating on violence threshold index (red, yellow, green) </w:t>
            </w:r>
          </w:p>
          <w:p w:rsidR="00D84FF6" w:rsidRPr="00C75655" w:rsidRDefault="00D84FF6">
            <w:pPr>
              <w:pStyle w:val="Default"/>
              <w:rPr>
                <w:sz w:val="22"/>
                <w:szCs w:val="22"/>
              </w:rPr>
            </w:pPr>
          </w:p>
        </w:tc>
      </w:tr>
    </w:tbl>
    <w:p w:rsidR="001F4C5A" w:rsidRPr="00C75655" w:rsidRDefault="00C11EAF">
      <w:pPr>
        <w:rPr>
          <w:rFonts w:ascii="Gill Sans MT" w:hAnsi="Gill Sans MT"/>
        </w:rPr>
      </w:pPr>
    </w:p>
    <w:p w:rsidR="00D84FF6" w:rsidRPr="00C75655" w:rsidRDefault="00D84FF6" w:rsidP="00D84FF6">
      <w:pPr>
        <w:pStyle w:val="Default"/>
        <w:rPr>
          <w:sz w:val="23"/>
          <w:szCs w:val="23"/>
        </w:rPr>
      </w:pPr>
    </w:p>
    <w:p w:rsidR="00D84FF6" w:rsidRPr="00C75655" w:rsidRDefault="00D84FF6" w:rsidP="00D84FF6">
      <w:pPr>
        <w:pStyle w:val="Default"/>
        <w:rPr>
          <w:sz w:val="23"/>
          <w:szCs w:val="23"/>
        </w:rPr>
      </w:pPr>
    </w:p>
    <w:p w:rsidR="00D84FF6" w:rsidRDefault="00D84FF6" w:rsidP="00D84FF6">
      <w:pPr>
        <w:pStyle w:val="Default"/>
        <w:rPr>
          <w:sz w:val="23"/>
          <w:szCs w:val="23"/>
        </w:rPr>
      </w:pPr>
    </w:p>
    <w:p w:rsidR="00C75655" w:rsidRDefault="00C75655" w:rsidP="00D84FF6">
      <w:pPr>
        <w:pStyle w:val="Default"/>
        <w:rPr>
          <w:sz w:val="23"/>
          <w:szCs w:val="23"/>
        </w:rPr>
      </w:pPr>
    </w:p>
    <w:p w:rsidR="00C75655" w:rsidRPr="00C75655" w:rsidRDefault="00C75655" w:rsidP="00D84FF6">
      <w:pPr>
        <w:pStyle w:val="Default"/>
        <w:rPr>
          <w:sz w:val="23"/>
          <w:szCs w:val="23"/>
        </w:rPr>
      </w:pPr>
    </w:p>
    <w:p w:rsidR="00D84FF6" w:rsidRPr="00C75655" w:rsidRDefault="00D84FF6" w:rsidP="00D84FF6">
      <w:pPr>
        <w:pStyle w:val="Default"/>
        <w:rPr>
          <w:sz w:val="23"/>
          <w:szCs w:val="23"/>
        </w:rPr>
      </w:pPr>
    </w:p>
    <w:p w:rsidR="00D84FF6" w:rsidRPr="00C75655" w:rsidRDefault="00D84FF6" w:rsidP="00D84FF6">
      <w:pPr>
        <w:pStyle w:val="Default"/>
        <w:rPr>
          <w:b/>
          <w:bCs/>
          <w:sz w:val="22"/>
          <w:szCs w:val="22"/>
        </w:rPr>
      </w:pPr>
      <w:r w:rsidRPr="00C75655">
        <w:rPr>
          <w:b/>
          <w:bCs/>
          <w:sz w:val="22"/>
          <w:szCs w:val="22"/>
        </w:rPr>
        <w:t xml:space="preserve">Common sources of context indicator data include: </w:t>
      </w:r>
    </w:p>
    <w:p w:rsidR="00D84FF6" w:rsidRPr="00C75655" w:rsidRDefault="00D84FF6" w:rsidP="00D84FF6">
      <w:pPr>
        <w:pStyle w:val="Default"/>
        <w:spacing w:after="166"/>
        <w:rPr>
          <w:sz w:val="22"/>
          <w:szCs w:val="22"/>
        </w:rPr>
      </w:pPr>
    </w:p>
    <w:p w:rsidR="00D84FF6" w:rsidRPr="00C75655" w:rsidRDefault="00D84FF6" w:rsidP="00D84FF6">
      <w:pPr>
        <w:pStyle w:val="Default"/>
        <w:numPr>
          <w:ilvl w:val="0"/>
          <w:numId w:val="1"/>
        </w:numPr>
        <w:spacing w:after="166"/>
        <w:rPr>
          <w:sz w:val="22"/>
          <w:szCs w:val="22"/>
        </w:rPr>
      </w:pPr>
      <w:r w:rsidRPr="00C75655">
        <w:rPr>
          <w:sz w:val="22"/>
          <w:szCs w:val="22"/>
        </w:rPr>
        <w:t>European Commission, i.e., Eurostat data</w:t>
      </w:r>
    </w:p>
    <w:p w:rsidR="00D84FF6" w:rsidRPr="00C75655" w:rsidRDefault="00D84FF6" w:rsidP="00D84FF6">
      <w:pPr>
        <w:pStyle w:val="Default"/>
        <w:numPr>
          <w:ilvl w:val="0"/>
          <w:numId w:val="1"/>
        </w:numPr>
        <w:spacing w:after="166"/>
        <w:rPr>
          <w:sz w:val="22"/>
          <w:szCs w:val="22"/>
        </w:rPr>
      </w:pPr>
      <w:r w:rsidRPr="00C75655">
        <w:rPr>
          <w:sz w:val="22"/>
          <w:szCs w:val="22"/>
        </w:rPr>
        <w:t xml:space="preserve">United Nationals datasets, such as the Millennium Development Goals </w:t>
      </w:r>
    </w:p>
    <w:p w:rsidR="00D84FF6" w:rsidRPr="00C75655" w:rsidRDefault="00D84FF6" w:rsidP="00D84FF6">
      <w:pPr>
        <w:pStyle w:val="Default"/>
        <w:numPr>
          <w:ilvl w:val="0"/>
          <w:numId w:val="1"/>
        </w:numPr>
        <w:spacing w:after="166"/>
        <w:rPr>
          <w:sz w:val="22"/>
          <w:szCs w:val="22"/>
        </w:rPr>
      </w:pPr>
      <w:r w:rsidRPr="00C75655">
        <w:rPr>
          <w:sz w:val="22"/>
          <w:szCs w:val="22"/>
        </w:rPr>
        <w:t xml:space="preserve">World Bank datasets, such as on Governance and “Doing Business” </w:t>
      </w:r>
    </w:p>
    <w:p w:rsidR="00D84FF6" w:rsidRPr="00C75655" w:rsidRDefault="00D84FF6" w:rsidP="00D84FF6">
      <w:pPr>
        <w:pStyle w:val="Default"/>
        <w:numPr>
          <w:ilvl w:val="0"/>
          <w:numId w:val="1"/>
        </w:numPr>
        <w:spacing w:after="166"/>
        <w:rPr>
          <w:sz w:val="22"/>
          <w:szCs w:val="22"/>
        </w:rPr>
      </w:pPr>
      <w:r w:rsidRPr="00C75655">
        <w:rPr>
          <w:sz w:val="22"/>
          <w:szCs w:val="22"/>
        </w:rPr>
        <w:t xml:space="preserve">OECD, including environmental datasets </w:t>
      </w:r>
    </w:p>
    <w:p w:rsidR="00D84FF6" w:rsidRPr="00C75655" w:rsidRDefault="00D84FF6" w:rsidP="00D84FF6">
      <w:pPr>
        <w:pStyle w:val="Default"/>
        <w:numPr>
          <w:ilvl w:val="0"/>
          <w:numId w:val="1"/>
        </w:numPr>
        <w:spacing w:after="166"/>
        <w:rPr>
          <w:sz w:val="22"/>
          <w:szCs w:val="22"/>
        </w:rPr>
      </w:pPr>
      <w:r w:rsidRPr="00C75655">
        <w:rPr>
          <w:sz w:val="22"/>
          <w:szCs w:val="22"/>
        </w:rPr>
        <w:t xml:space="preserve">Transparency International </w:t>
      </w:r>
    </w:p>
    <w:p w:rsidR="00D84FF6" w:rsidRPr="00C75655" w:rsidRDefault="00D84FF6" w:rsidP="00D84FF6">
      <w:pPr>
        <w:pStyle w:val="Default"/>
        <w:numPr>
          <w:ilvl w:val="0"/>
          <w:numId w:val="1"/>
        </w:numPr>
        <w:spacing w:after="166"/>
        <w:rPr>
          <w:sz w:val="22"/>
          <w:szCs w:val="22"/>
        </w:rPr>
      </w:pPr>
      <w:r w:rsidRPr="00C75655">
        <w:rPr>
          <w:sz w:val="22"/>
          <w:szCs w:val="22"/>
        </w:rPr>
        <w:t xml:space="preserve">Freedom House International </w:t>
      </w:r>
    </w:p>
    <w:p w:rsidR="00D84FF6" w:rsidRPr="00C75655" w:rsidRDefault="00D84FF6" w:rsidP="00D84FF6">
      <w:pPr>
        <w:pStyle w:val="Default"/>
        <w:numPr>
          <w:ilvl w:val="0"/>
          <w:numId w:val="1"/>
        </w:numPr>
        <w:spacing w:after="166"/>
        <w:rPr>
          <w:sz w:val="22"/>
          <w:szCs w:val="22"/>
        </w:rPr>
      </w:pPr>
      <w:r w:rsidRPr="00C75655">
        <w:rPr>
          <w:sz w:val="22"/>
          <w:szCs w:val="22"/>
        </w:rPr>
        <w:t xml:space="preserve">Human Rights Watch </w:t>
      </w:r>
    </w:p>
    <w:p w:rsidR="00D84FF6" w:rsidRPr="00C75655" w:rsidRDefault="00D84FF6" w:rsidP="00D84FF6">
      <w:pPr>
        <w:pStyle w:val="Default"/>
        <w:numPr>
          <w:ilvl w:val="0"/>
          <w:numId w:val="1"/>
        </w:numPr>
        <w:spacing w:after="166"/>
        <w:rPr>
          <w:sz w:val="22"/>
          <w:szCs w:val="22"/>
        </w:rPr>
      </w:pPr>
      <w:r w:rsidRPr="00C75655">
        <w:rPr>
          <w:sz w:val="22"/>
          <w:szCs w:val="22"/>
        </w:rPr>
        <w:t xml:space="preserve">Amnesty International </w:t>
      </w:r>
    </w:p>
    <w:p w:rsidR="00D84FF6" w:rsidRPr="00C75655" w:rsidRDefault="00D84FF6" w:rsidP="00D84FF6">
      <w:pPr>
        <w:pStyle w:val="Default"/>
        <w:numPr>
          <w:ilvl w:val="0"/>
          <w:numId w:val="1"/>
        </w:numPr>
        <w:spacing w:after="166"/>
        <w:rPr>
          <w:sz w:val="22"/>
          <w:szCs w:val="22"/>
        </w:rPr>
      </w:pPr>
      <w:r w:rsidRPr="00C75655">
        <w:rPr>
          <w:sz w:val="22"/>
          <w:szCs w:val="22"/>
        </w:rPr>
        <w:t xml:space="preserve">World Economic Forum (trade data) </w:t>
      </w:r>
    </w:p>
    <w:p w:rsidR="00D84FF6" w:rsidRPr="00C75655" w:rsidRDefault="00D84FF6" w:rsidP="00D84FF6">
      <w:pPr>
        <w:pStyle w:val="Default"/>
        <w:numPr>
          <w:ilvl w:val="0"/>
          <w:numId w:val="1"/>
        </w:numPr>
        <w:spacing w:after="166"/>
        <w:rPr>
          <w:sz w:val="22"/>
          <w:szCs w:val="22"/>
        </w:rPr>
      </w:pPr>
      <w:r w:rsidRPr="00C75655">
        <w:rPr>
          <w:sz w:val="22"/>
          <w:szCs w:val="22"/>
        </w:rPr>
        <w:t xml:space="preserve">National statistical offices of the host government </w:t>
      </w:r>
    </w:p>
    <w:p w:rsidR="00D84FF6" w:rsidRPr="00C75655" w:rsidRDefault="00D84FF6" w:rsidP="00D84FF6">
      <w:pPr>
        <w:pStyle w:val="Default"/>
        <w:numPr>
          <w:ilvl w:val="0"/>
          <w:numId w:val="1"/>
        </w:numPr>
        <w:spacing w:after="166"/>
        <w:rPr>
          <w:sz w:val="22"/>
          <w:szCs w:val="22"/>
        </w:rPr>
      </w:pPr>
      <w:r w:rsidRPr="00C75655">
        <w:rPr>
          <w:sz w:val="22"/>
          <w:szCs w:val="22"/>
        </w:rPr>
        <w:t xml:space="preserve">Bilateral donor datasets </w:t>
      </w:r>
    </w:p>
    <w:p w:rsidR="00D84FF6" w:rsidRPr="00C75655" w:rsidRDefault="00D84FF6" w:rsidP="00D84FF6">
      <w:pPr>
        <w:pStyle w:val="Default"/>
        <w:numPr>
          <w:ilvl w:val="0"/>
          <w:numId w:val="1"/>
        </w:numPr>
        <w:spacing w:after="166"/>
        <w:rPr>
          <w:sz w:val="22"/>
          <w:szCs w:val="22"/>
        </w:rPr>
      </w:pPr>
      <w:r w:rsidRPr="00C75655">
        <w:rPr>
          <w:sz w:val="22"/>
          <w:szCs w:val="22"/>
        </w:rPr>
        <w:t xml:space="preserve">Regional organizations, such as the Organization for American States </w:t>
      </w:r>
    </w:p>
    <w:p w:rsidR="00D84FF6" w:rsidRPr="00C75655" w:rsidRDefault="00D84FF6" w:rsidP="00D84FF6">
      <w:pPr>
        <w:pStyle w:val="Default"/>
        <w:numPr>
          <w:ilvl w:val="0"/>
          <w:numId w:val="1"/>
        </w:numPr>
        <w:spacing w:after="166"/>
        <w:rPr>
          <w:sz w:val="22"/>
          <w:szCs w:val="22"/>
        </w:rPr>
      </w:pPr>
      <w:r w:rsidRPr="00C75655">
        <w:rPr>
          <w:sz w:val="22"/>
          <w:szCs w:val="22"/>
        </w:rPr>
        <w:t xml:space="preserve">Academic organizations, both local and international </w:t>
      </w:r>
    </w:p>
    <w:p w:rsidR="00D84FF6" w:rsidRPr="00C75655" w:rsidRDefault="00D84FF6" w:rsidP="00D84FF6">
      <w:pPr>
        <w:pStyle w:val="Default"/>
        <w:numPr>
          <w:ilvl w:val="0"/>
          <w:numId w:val="1"/>
        </w:numPr>
        <w:spacing w:after="166"/>
        <w:rPr>
          <w:sz w:val="22"/>
          <w:szCs w:val="22"/>
        </w:rPr>
      </w:pPr>
      <w:r w:rsidRPr="00C75655">
        <w:rPr>
          <w:sz w:val="22"/>
          <w:szCs w:val="22"/>
        </w:rPr>
        <w:t xml:space="preserve">Media organizations, such as The Economist </w:t>
      </w:r>
    </w:p>
    <w:p w:rsidR="00D84FF6" w:rsidRPr="00C75655" w:rsidRDefault="00D84FF6" w:rsidP="00D84FF6">
      <w:pPr>
        <w:pStyle w:val="Default"/>
        <w:numPr>
          <w:ilvl w:val="0"/>
          <w:numId w:val="1"/>
        </w:numPr>
        <w:rPr>
          <w:sz w:val="22"/>
          <w:szCs w:val="22"/>
        </w:rPr>
      </w:pPr>
      <w:r w:rsidRPr="00C75655">
        <w:rPr>
          <w:sz w:val="22"/>
          <w:szCs w:val="22"/>
        </w:rPr>
        <w:t xml:space="preserve">Private-sector research firms, i.e., Gallup. </w:t>
      </w:r>
    </w:p>
    <w:p w:rsidR="00D84FF6" w:rsidRPr="00C75655" w:rsidRDefault="00D84FF6">
      <w:pPr>
        <w:rPr>
          <w:rFonts w:ascii="Gill Sans MT" w:hAnsi="Gill Sans MT"/>
        </w:rPr>
      </w:pPr>
    </w:p>
    <w:sectPr w:rsidR="00D84FF6" w:rsidRPr="00C75655" w:rsidSect="00C75655">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AF" w:rsidRDefault="00C11EAF" w:rsidP="00C75655">
      <w:pPr>
        <w:spacing w:after="0" w:line="240" w:lineRule="auto"/>
      </w:pPr>
      <w:r>
        <w:separator/>
      </w:r>
    </w:p>
  </w:endnote>
  <w:endnote w:type="continuationSeparator" w:id="0">
    <w:p w:rsidR="00C11EAF" w:rsidRDefault="00C11EAF" w:rsidP="00C7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AF" w:rsidRDefault="00C11EAF" w:rsidP="00C75655">
      <w:pPr>
        <w:spacing w:after="0" w:line="240" w:lineRule="auto"/>
      </w:pPr>
      <w:r>
        <w:separator/>
      </w:r>
    </w:p>
  </w:footnote>
  <w:footnote w:type="continuationSeparator" w:id="0">
    <w:p w:rsidR="00C11EAF" w:rsidRDefault="00C11EAF" w:rsidP="00C75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D79EE"/>
    <w:multiLevelType w:val="hybridMultilevel"/>
    <w:tmpl w:val="CC1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8F"/>
    <w:rsid w:val="00020F21"/>
    <w:rsid w:val="000B1E8F"/>
    <w:rsid w:val="00454209"/>
    <w:rsid w:val="007979A3"/>
    <w:rsid w:val="00812AD9"/>
    <w:rsid w:val="00892CBD"/>
    <w:rsid w:val="00A04223"/>
    <w:rsid w:val="00BE2329"/>
    <w:rsid w:val="00C043B8"/>
    <w:rsid w:val="00C11EAF"/>
    <w:rsid w:val="00C75655"/>
    <w:rsid w:val="00C912DB"/>
    <w:rsid w:val="00CA70A9"/>
    <w:rsid w:val="00D84FF6"/>
    <w:rsid w:val="00F323E1"/>
    <w:rsid w:val="00F542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9A732-1F2D-4BB9-B0EC-4505FB72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E8F"/>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C75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655"/>
  </w:style>
  <w:style w:type="paragraph" w:styleId="Footer">
    <w:name w:val="footer"/>
    <w:basedOn w:val="Normal"/>
    <w:link w:val="FooterChar"/>
    <w:uiPriority w:val="99"/>
    <w:unhideWhenUsed/>
    <w:rsid w:val="00C75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user10lap</dc:creator>
  <cp:keywords/>
  <dc:description/>
  <cp:lastModifiedBy>Shadi Tanash</cp:lastModifiedBy>
  <cp:revision>3</cp:revision>
  <dcterms:created xsi:type="dcterms:W3CDTF">2014-10-27T11:21:00Z</dcterms:created>
  <dcterms:modified xsi:type="dcterms:W3CDTF">2015-04-29T08:03:00Z</dcterms:modified>
</cp:coreProperties>
</file>