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186272" w14:textId="4A475ED6" w:rsidR="006419DD" w:rsidRDefault="00C231A3">
      <w:pPr>
        <w:spacing w:before="200" w:after="200" w:line="360" w:lineRule="auto"/>
        <w:jc w:val="right"/>
        <w:rPr>
          <w:color w:val="999999"/>
          <w:sz w:val="16"/>
          <w:szCs w:val="16"/>
        </w:rPr>
      </w:pPr>
      <w:r>
        <w:rPr>
          <w:color w:val="999999"/>
          <w:sz w:val="16"/>
          <w:szCs w:val="16"/>
        </w:rPr>
        <w:t>PHOTO CREDIT</w:t>
      </w:r>
      <w:r w:rsidR="00236E2A">
        <w:rPr>
          <w:color w:val="999999"/>
          <w:sz w:val="16"/>
          <w:szCs w:val="16"/>
        </w:rPr>
        <w:t xml:space="preserve">: </w:t>
      </w:r>
      <w:r w:rsidR="00187B28">
        <w:rPr>
          <w:color w:val="999999"/>
          <w:sz w:val="16"/>
          <w:szCs w:val="16"/>
        </w:rPr>
        <w:t>Zaid Kashour</w:t>
      </w:r>
    </w:p>
    <w:p w14:paraId="62186275" w14:textId="1FC66D52" w:rsidR="006419DD" w:rsidRPr="00F4564C" w:rsidRDefault="00A445D3" w:rsidP="00A445D3">
      <w:pPr>
        <w:pStyle w:val="NoSpacing"/>
        <w:rPr>
          <w:sz w:val="52"/>
          <w:szCs w:val="52"/>
        </w:rPr>
      </w:pPr>
      <w:r>
        <w:rPr>
          <w:sz w:val="52"/>
          <w:szCs w:val="52"/>
        </w:rPr>
        <w:t>Sustainable Cultural Heritage Through Engagement of Local Communities Project (SCHEP)</w:t>
      </w:r>
      <w:r w:rsidR="00C231A3" w:rsidRPr="00F4564C">
        <w:rPr>
          <w:sz w:val="52"/>
          <w:szCs w:val="52"/>
        </w:rPr>
        <w:t xml:space="preserve"> FACT </w:t>
      </w:r>
      <w:r w:rsidR="007B052B" w:rsidRPr="00F4564C">
        <w:rPr>
          <w:sz w:val="52"/>
          <w:szCs w:val="52"/>
        </w:rPr>
        <w:t xml:space="preserve">SHEET </w:t>
      </w:r>
    </w:p>
    <w:p w14:paraId="62186276" w14:textId="2F1F1B24" w:rsidR="006419DD" w:rsidRDefault="00C231A3">
      <w:pPr>
        <w:pStyle w:val="Heading2"/>
        <w:spacing w:before="400" w:after="200" w:line="276" w:lineRule="auto"/>
        <w:rPr>
          <w:color w:val="0067B9"/>
          <w:sz w:val="28"/>
          <w:szCs w:val="28"/>
        </w:rPr>
      </w:pPr>
      <w:bookmarkStart w:id="0" w:name="_xexs6npb4vku" w:colFirst="0" w:colLast="0"/>
      <w:bookmarkEnd w:id="0"/>
      <w:r>
        <w:rPr>
          <w:color w:val="0067B9"/>
          <w:sz w:val="28"/>
          <w:szCs w:val="28"/>
        </w:rPr>
        <w:t>BACKGROUND</w:t>
      </w:r>
    </w:p>
    <w:p w14:paraId="3E74A953" w14:textId="28B790CF" w:rsidR="00065E22" w:rsidRDefault="00DF0B62" w:rsidP="00A66F38">
      <w:pPr>
        <w:jc w:val="both"/>
      </w:pPr>
      <w:r w:rsidRPr="00DF0B62">
        <w:t>Jordan hosts a vast number of archaeological sites that are important cultural heritage resources for the country. Besides the well-known tourist and World Heritage sites, these include numerous other locations that could have substantial tourism appeal if properly developed using a sustainable preservation model that ensures their viability as long-term resources for Jordan. Jordan also abounds with living cultural heritage traditions within its diverse range of different types of communities.</w:t>
      </w:r>
      <w:r>
        <w:t xml:space="preserve"> </w:t>
      </w:r>
      <w:r w:rsidR="00A66F38">
        <w:t xml:space="preserve">The USAID Sustainable Cultural Heritage </w:t>
      </w:r>
      <w:r w:rsidR="00015DDA">
        <w:t>through</w:t>
      </w:r>
      <w:r w:rsidR="00A66F38">
        <w:t xml:space="preserve"> Engagement of Local Communities Project (SCHEP)</w:t>
      </w:r>
      <w:r w:rsidR="00937F5F">
        <w:t>,</w:t>
      </w:r>
      <w:r w:rsidR="00A66F38">
        <w:t xml:space="preserve"> </w:t>
      </w:r>
      <w:r w:rsidR="00065E22">
        <w:t>implemented by the American Center of Research (ACOR)</w:t>
      </w:r>
      <w:r w:rsidR="00015DDA">
        <w:t>,</w:t>
      </w:r>
      <w:r w:rsidR="00065E22">
        <w:t xml:space="preserve"> </w:t>
      </w:r>
      <w:r w:rsidR="0002064F">
        <w:t xml:space="preserve">has </w:t>
      </w:r>
      <w:r w:rsidR="00A66F38">
        <w:t xml:space="preserve">provided a model for the </w:t>
      </w:r>
      <w:r w:rsidR="00015DDA">
        <w:t xml:space="preserve">connection </w:t>
      </w:r>
      <w:r w:rsidR="00A66F38">
        <w:t xml:space="preserve">of cultural preservation, community engagement, and tourism development. In the past </w:t>
      </w:r>
      <w:r w:rsidR="00065E22">
        <w:t>decade</w:t>
      </w:r>
      <w:r w:rsidR="00A66F38">
        <w:t xml:space="preserve">, SCHEP worked to expand community engagement in heritage and tourism activities in Jordan, supporting and growing the number and quality of partners in this effort, and training and supporting the governmental entities ultimately responsible. Through the </w:t>
      </w:r>
      <w:r w:rsidR="00065E22">
        <w:t>years</w:t>
      </w:r>
      <w:r w:rsidR="00A66F38">
        <w:t>, SCHEP focus</w:t>
      </w:r>
      <w:r w:rsidR="00065E22">
        <w:t>ed</w:t>
      </w:r>
      <w:r w:rsidR="00A66F38">
        <w:t xml:space="preserve"> on further embedding the SCHEP approach into Jordan’s heritage </w:t>
      </w:r>
      <w:r w:rsidR="00236E2A">
        <w:t>community and</w:t>
      </w:r>
      <w:r w:rsidR="0002064F">
        <w:t xml:space="preserve"> </w:t>
      </w:r>
      <w:r w:rsidR="00A66F38">
        <w:t xml:space="preserve">providing greater access to tourism/heritage information so the field might grow, </w:t>
      </w:r>
      <w:r w:rsidR="0002064F">
        <w:t>by</w:t>
      </w:r>
      <w:r w:rsidR="00A66F38">
        <w:t xml:space="preserve"> supporting the government in its efforts to advance.</w:t>
      </w:r>
    </w:p>
    <w:p w14:paraId="62186278" w14:textId="68AE7D37" w:rsidR="006419DD" w:rsidRDefault="00C231A3">
      <w:pPr>
        <w:pStyle w:val="Heading2"/>
        <w:spacing w:before="400" w:after="200" w:line="276" w:lineRule="auto"/>
        <w:rPr>
          <w:b w:val="0"/>
          <w:color w:val="0067B9"/>
          <w:sz w:val="36"/>
          <w:szCs w:val="36"/>
        </w:rPr>
      </w:pPr>
      <w:r>
        <w:rPr>
          <w:color w:val="0067B9"/>
          <w:sz w:val="28"/>
          <w:szCs w:val="28"/>
        </w:rPr>
        <w:lastRenderedPageBreak/>
        <w:t xml:space="preserve">PRIORITIES </w:t>
      </w:r>
    </w:p>
    <w:p w14:paraId="27395E0A" w14:textId="74678D25" w:rsidR="002B4DA9" w:rsidRDefault="002B4DA9" w:rsidP="002B4DA9">
      <w:pPr>
        <w:rPr>
          <w:b/>
          <w:bCs/>
          <w:sz w:val="28"/>
          <w:szCs w:val="28"/>
        </w:rPr>
      </w:pPr>
      <w:bookmarkStart w:id="1" w:name="_1a9nuo11pi3i" w:colFirst="0" w:colLast="0"/>
      <w:bookmarkEnd w:id="1"/>
      <w:r w:rsidRPr="002B4DA9">
        <w:rPr>
          <w:b/>
          <w:bCs/>
          <w:sz w:val="28"/>
          <w:szCs w:val="28"/>
        </w:rPr>
        <w:t>GOAL ONE</w:t>
      </w:r>
    </w:p>
    <w:p w14:paraId="34E8CB5D" w14:textId="1FBF77F7" w:rsidR="007A0009" w:rsidRDefault="000C24C6" w:rsidP="007A0009">
      <w:pPr>
        <w:jc w:val="both"/>
        <w:rPr>
          <w:b/>
          <w:bCs/>
          <w:sz w:val="28"/>
          <w:szCs w:val="28"/>
        </w:rPr>
      </w:pPr>
      <w:r w:rsidRPr="00065E22">
        <w:rPr>
          <w:color w:val="434343"/>
          <w:sz w:val="32"/>
          <w:szCs w:val="32"/>
        </w:rPr>
        <w:t>S</w:t>
      </w:r>
      <w:r w:rsidRPr="000C24C6">
        <w:rPr>
          <w:color w:val="434343"/>
        </w:rPr>
        <w:t xml:space="preserve">upport </w:t>
      </w:r>
      <w:r w:rsidR="007A0009" w:rsidRPr="007A0009">
        <w:rPr>
          <w:color w:val="434343"/>
        </w:rPr>
        <w:t xml:space="preserve">the enabling environment and government efforts by fostering collaboration among specialists from academia, the government, and the tourism sector, with the aim of promoting effective and sustainable preservation and maintenance </w:t>
      </w:r>
      <w:r w:rsidR="00361740" w:rsidRPr="007A0009">
        <w:rPr>
          <w:color w:val="434343"/>
        </w:rPr>
        <w:t>practices.</w:t>
      </w:r>
    </w:p>
    <w:p w14:paraId="5493FE4C" w14:textId="64B2A820" w:rsidR="002B4DA9" w:rsidRDefault="002B4DA9" w:rsidP="002B4DA9">
      <w:pPr>
        <w:rPr>
          <w:b/>
          <w:bCs/>
          <w:sz w:val="28"/>
          <w:szCs w:val="28"/>
        </w:rPr>
      </w:pPr>
      <w:r>
        <w:rPr>
          <w:b/>
          <w:bCs/>
          <w:sz w:val="28"/>
          <w:szCs w:val="28"/>
        </w:rPr>
        <w:t>G</w:t>
      </w:r>
      <w:r w:rsidRPr="002B4DA9">
        <w:rPr>
          <w:b/>
          <w:bCs/>
          <w:sz w:val="28"/>
          <w:szCs w:val="28"/>
        </w:rPr>
        <w:t>OAL TWO</w:t>
      </w:r>
    </w:p>
    <w:p w14:paraId="1C2DC458" w14:textId="1CC5FEBE" w:rsidR="002C3149" w:rsidRDefault="00937F5F" w:rsidP="00065E22">
      <w:pPr>
        <w:widowControl w:val="0"/>
        <w:spacing w:after="200" w:line="276" w:lineRule="auto"/>
        <w:jc w:val="both"/>
        <w:rPr>
          <w:color w:val="434343"/>
        </w:rPr>
      </w:pPr>
      <w:r w:rsidRPr="00065E22">
        <w:rPr>
          <w:color w:val="434343"/>
          <w:sz w:val="32"/>
          <w:szCs w:val="32"/>
        </w:rPr>
        <w:t>E</w:t>
      </w:r>
      <w:r w:rsidRPr="002B4DA9">
        <w:rPr>
          <w:color w:val="434343"/>
        </w:rPr>
        <w:t>nhanc</w:t>
      </w:r>
      <w:r>
        <w:rPr>
          <w:color w:val="434343"/>
        </w:rPr>
        <w:t xml:space="preserve">e </w:t>
      </w:r>
      <w:r w:rsidR="007D540D">
        <w:rPr>
          <w:color w:val="434343"/>
        </w:rPr>
        <w:t>s</w:t>
      </w:r>
      <w:r w:rsidR="00A66F38" w:rsidRPr="002B4DA9">
        <w:rPr>
          <w:color w:val="434343"/>
        </w:rPr>
        <w:t xml:space="preserve">ite </w:t>
      </w:r>
      <w:r w:rsidR="007D540D">
        <w:rPr>
          <w:color w:val="434343"/>
        </w:rPr>
        <w:t>d</w:t>
      </w:r>
      <w:r w:rsidR="00A66F38" w:rsidRPr="002B4DA9">
        <w:rPr>
          <w:color w:val="434343"/>
        </w:rPr>
        <w:t>evelopment</w:t>
      </w:r>
      <w:r>
        <w:rPr>
          <w:color w:val="434343"/>
        </w:rPr>
        <w:t xml:space="preserve"> by</w:t>
      </w:r>
      <w:r w:rsidR="000C24C6">
        <w:rPr>
          <w:color w:val="434343"/>
        </w:rPr>
        <w:t xml:space="preserve"> </w:t>
      </w:r>
      <w:r w:rsidR="002C3149">
        <w:rPr>
          <w:color w:val="434343"/>
        </w:rPr>
        <w:t xml:space="preserve">collaborating with </w:t>
      </w:r>
      <w:r w:rsidR="002C3149" w:rsidRPr="002C3149">
        <w:rPr>
          <w:color w:val="434343"/>
        </w:rPr>
        <w:t xml:space="preserve">stakeholders, including government </w:t>
      </w:r>
      <w:r w:rsidR="00FD6318">
        <w:rPr>
          <w:color w:val="434343"/>
        </w:rPr>
        <w:t>entities</w:t>
      </w:r>
      <w:r w:rsidR="002C3149" w:rsidRPr="002C3149">
        <w:rPr>
          <w:color w:val="434343"/>
        </w:rPr>
        <w:t xml:space="preserve">, non-governmental organizations, educational institutions, </w:t>
      </w:r>
      <w:r w:rsidR="00FD6318">
        <w:rPr>
          <w:color w:val="434343"/>
        </w:rPr>
        <w:t xml:space="preserve">the </w:t>
      </w:r>
      <w:r w:rsidR="002C3149" w:rsidRPr="002C3149">
        <w:rPr>
          <w:color w:val="434343"/>
        </w:rPr>
        <w:t xml:space="preserve">private sector, and micro and small enterprises (MSEs) </w:t>
      </w:r>
      <w:r w:rsidR="007A0009">
        <w:rPr>
          <w:color w:val="434343"/>
        </w:rPr>
        <w:t xml:space="preserve">to </w:t>
      </w:r>
      <w:r w:rsidR="002C3149" w:rsidRPr="002C3149">
        <w:rPr>
          <w:color w:val="434343"/>
        </w:rPr>
        <w:t>manag</w:t>
      </w:r>
      <w:r w:rsidR="007A0009">
        <w:rPr>
          <w:color w:val="434343"/>
        </w:rPr>
        <w:t>e</w:t>
      </w:r>
      <w:r w:rsidR="002C3149" w:rsidRPr="002C3149">
        <w:rPr>
          <w:color w:val="434343"/>
        </w:rPr>
        <w:t xml:space="preserve"> restoration, interpretation, and community collaboration</w:t>
      </w:r>
      <w:r w:rsidR="002C3149">
        <w:rPr>
          <w:color w:val="434343"/>
        </w:rPr>
        <w:t>.</w:t>
      </w:r>
    </w:p>
    <w:p w14:paraId="109DC0B3" w14:textId="74F4CB1B" w:rsidR="002B4DA9" w:rsidRDefault="002B4DA9" w:rsidP="002B4DA9">
      <w:pPr>
        <w:rPr>
          <w:b/>
          <w:bCs/>
          <w:sz w:val="28"/>
          <w:szCs w:val="28"/>
        </w:rPr>
      </w:pPr>
      <w:r w:rsidRPr="002B4DA9">
        <w:rPr>
          <w:b/>
          <w:bCs/>
          <w:sz w:val="28"/>
          <w:szCs w:val="28"/>
        </w:rPr>
        <w:t>GOAL THREE</w:t>
      </w:r>
    </w:p>
    <w:p w14:paraId="2E3832DA" w14:textId="55D77136" w:rsidR="000C24C6" w:rsidRPr="000C24C6" w:rsidRDefault="002B4DA9" w:rsidP="00C47FED">
      <w:pPr>
        <w:widowControl w:val="0"/>
        <w:spacing w:after="200" w:line="276" w:lineRule="auto"/>
        <w:jc w:val="both"/>
        <w:rPr>
          <w:color w:val="434343"/>
        </w:rPr>
      </w:pPr>
      <w:r w:rsidRPr="00065E22">
        <w:rPr>
          <w:color w:val="434343"/>
          <w:sz w:val="32"/>
          <w:szCs w:val="32"/>
        </w:rPr>
        <w:t>S</w:t>
      </w:r>
      <w:r w:rsidRPr="002B4DA9">
        <w:rPr>
          <w:color w:val="434343"/>
        </w:rPr>
        <w:t xml:space="preserve">upport the </w:t>
      </w:r>
      <w:r w:rsidR="007D540D">
        <w:rPr>
          <w:color w:val="434343"/>
        </w:rPr>
        <w:t>h</w:t>
      </w:r>
      <w:r w:rsidRPr="002B4DA9">
        <w:rPr>
          <w:color w:val="434343"/>
        </w:rPr>
        <w:t xml:space="preserve">eritage </w:t>
      </w:r>
      <w:r w:rsidR="007D540D">
        <w:rPr>
          <w:color w:val="434343"/>
        </w:rPr>
        <w:t>c</w:t>
      </w:r>
      <w:r w:rsidRPr="002B4DA9">
        <w:rPr>
          <w:color w:val="434343"/>
        </w:rPr>
        <w:t xml:space="preserve">ommunity of </w:t>
      </w:r>
      <w:r w:rsidR="007D540D">
        <w:rPr>
          <w:color w:val="434343"/>
        </w:rPr>
        <w:t>p</w:t>
      </w:r>
      <w:r w:rsidRPr="002B4DA9">
        <w:rPr>
          <w:color w:val="434343"/>
        </w:rPr>
        <w:t>ractice in Jordan</w:t>
      </w:r>
      <w:r w:rsidR="00A34921">
        <w:rPr>
          <w:color w:val="434343"/>
        </w:rPr>
        <w:t xml:space="preserve"> by</w:t>
      </w:r>
      <w:r>
        <w:rPr>
          <w:color w:val="434343"/>
        </w:rPr>
        <w:t xml:space="preserve"> </w:t>
      </w:r>
      <w:r w:rsidR="00C47FED">
        <w:rPr>
          <w:color w:val="434343"/>
        </w:rPr>
        <w:t>fostering self-sustaining activities</w:t>
      </w:r>
      <w:r w:rsidR="002C3149">
        <w:rPr>
          <w:color w:val="434343"/>
        </w:rPr>
        <w:t xml:space="preserve"> and developing</w:t>
      </w:r>
      <w:r w:rsidR="00C47FED">
        <w:rPr>
          <w:color w:val="434343"/>
        </w:rPr>
        <w:t xml:space="preserve"> Jordan’s Cultural Heritage Portal</w:t>
      </w:r>
      <w:r w:rsidR="00FB528D">
        <w:rPr>
          <w:color w:val="434343"/>
        </w:rPr>
        <w:t xml:space="preserve"> (JoCHP)</w:t>
      </w:r>
      <w:r w:rsidR="00C47FED">
        <w:rPr>
          <w:color w:val="434343"/>
        </w:rPr>
        <w:t xml:space="preserve"> to serve as a comprehensive resource hub for cultural heritage related information and knowledge in Jordan. </w:t>
      </w:r>
      <w:r w:rsidR="007A0009">
        <w:rPr>
          <w:color w:val="434343"/>
        </w:rPr>
        <w:t xml:space="preserve"> </w:t>
      </w:r>
      <w:r w:rsidR="00FB528D">
        <w:rPr>
          <w:color w:val="434343"/>
        </w:rPr>
        <w:t xml:space="preserve">JoCHP </w:t>
      </w:r>
      <w:r w:rsidR="007A0009">
        <w:rPr>
          <w:color w:val="434343"/>
        </w:rPr>
        <w:t>will</w:t>
      </w:r>
      <w:r w:rsidR="00C47FED" w:rsidRPr="00C47FED">
        <w:rPr>
          <w:color w:val="434343"/>
        </w:rPr>
        <w:t xml:space="preserve"> enhance knowledge sharing by including international resources and multilingual content. </w:t>
      </w:r>
    </w:p>
    <w:p w14:paraId="6218627F" w14:textId="3B7C0EC0" w:rsidR="006419DD" w:rsidRDefault="00C231A3" w:rsidP="00065E22">
      <w:pPr>
        <w:pStyle w:val="Heading2"/>
        <w:spacing w:before="300" w:after="200" w:line="276" w:lineRule="auto"/>
        <w:rPr>
          <w:b w:val="0"/>
          <w:color w:val="0067B9"/>
          <w:sz w:val="36"/>
          <w:szCs w:val="36"/>
        </w:rPr>
      </w:pPr>
      <w:bookmarkStart w:id="2" w:name="_1iu1w1q22ev6" w:colFirst="0" w:colLast="0"/>
      <w:bookmarkEnd w:id="2"/>
      <w:r>
        <w:rPr>
          <w:color w:val="0067B9"/>
          <w:sz w:val="28"/>
          <w:szCs w:val="28"/>
        </w:rPr>
        <w:t xml:space="preserve">KEY RESULTS </w:t>
      </w:r>
    </w:p>
    <w:p w14:paraId="71A3043B" w14:textId="6ED244AB" w:rsidR="00C853A7" w:rsidRDefault="007A0009" w:rsidP="00065E22">
      <w:pPr>
        <w:widowControl w:val="0"/>
        <w:numPr>
          <w:ilvl w:val="0"/>
          <w:numId w:val="1"/>
        </w:numPr>
        <w:spacing w:after="0" w:line="276" w:lineRule="auto"/>
        <w:jc w:val="both"/>
        <w:rPr>
          <w:color w:val="434343"/>
        </w:rPr>
      </w:pPr>
      <w:r>
        <w:rPr>
          <w:color w:val="434343"/>
        </w:rPr>
        <w:t>Awarded f</w:t>
      </w:r>
      <w:r w:rsidR="00C853A7">
        <w:rPr>
          <w:color w:val="434343"/>
        </w:rPr>
        <w:t>inancial support</w:t>
      </w:r>
      <w:r w:rsidR="00C853A7" w:rsidRPr="00C853A7">
        <w:rPr>
          <w:color w:val="434343"/>
        </w:rPr>
        <w:t xml:space="preserve"> totaling $2.</w:t>
      </w:r>
      <w:r w:rsidR="000863BE">
        <w:rPr>
          <w:color w:val="434343"/>
        </w:rPr>
        <w:t>4</w:t>
      </w:r>
      <w:r w:rsidR="00C853A7" w:rsidRPr="00C853A7">
        <w:rPr>
          <w:color w:val="434343"/>
        </w:rPr>
        <w:t xml:space="preserve"> million to </w:t>
      </w:r>
      <w:r w:rsidR="00C853A7">
        <w:rPr>
          <w:color w:val="434343"/>
        </w:rPr>
        <w:t>46</w:t>
      </w:r>
      <w:r w:rsidR="00C853A7" w:rsidRPr="00C853A7">
        <w:rPr>
          <w:color w:val="434343"/>
        </w:rPr>
        <w:t xml:space="preserve"> local </w:t>
      </w:r>
      <w:r w:rsidR="00C853A7">
        <w:rPr>
          <w:color w:val="434343"/>
        </w:rPr>
        <w:t xml:space="preserve">and foreign </w:t>
      </w:r>
      <w:r w:rsidR="00C853A7" w:rsidRPr="00C853A7">
        <w:rPr>
          <w:color w:val="434343"/>
        </w:rPr>
        <w:t xml:space="preserve">institutions. </w:t>
      </w:r>
      <w:r w:rsidR="00C853A7">
        <w:rPr>
          <w:color w:val="434343"/>
        </w:rPr>
        <w:t>This</w:t>
      </w:r>
      <w:r w:rsidR="00C853A7" w:rsidRPr="00C853A7">
        <w:rPr>
          <w:color w:val="434343"/>
        </w:rPr>
        <w:t xml:space="preserve"> </w:t>
      </w:r>
      <w:r w:rsidR="00C853A7">
        <w:rPr>
          <w:color w:val="434343"/>
        </w:rPr>
        <w:t xml:space="preserve">support </w:t>
      </w:r>
      <w:r w:rsidR="00C853A7" w:rsidRPr="00C853A7">
        <w:rPr>
          <w:color w:val="434343"/>
        </w:rPr>
        <w:t>resul</w:t>
      </w:r>
      <w:r w:rsidR="00C853A7">
        <w:rPr>
          <w:color w:val="434343"/>
        </w:rPr>
        <w:t xml:space="preserve">ted in the </w:t>
      </w:r>
      <w:r w:rsidR="00DA6443">
        <w:rPr>
          <w:color w:val="434343"/>
        </w:rPr>
        <w:t xml:space="preserve">restoration of </w:t>
      </w:r>
      <w:r w:rsidR="008A2BE6">
        <w:rPr>
          <w:color w:val="434343"/>
        </w:rPr>
        <w:t>8 archaeological</w:t>
      </w:r>
      <w:r w:rsidR="00067373">
        <w:rPr>
          <w:color w:val="434343"/>
        </w:rPr>
        <w:t xml:space="preserve"> sites</w:t>
      </w:r>
      <w:r w:rsidR="008A2BE6">
        <w:rPr>
          <w:color w:val="434343"/>
        </w:rPr>
        <w:t xml:space="preserve">, the </w:t>
      </w:r>
      <w:r w:rsidR="00C853A7">
        <w:rPr>
          <w:color w:val="434343"/>
        </w:rPr>
        <w:t xml:space="preserve">creation of 444 jobs, </w:t>
      </w:r>
      <w:r w:rsidR="004E1CC6">
        <w:rPr>
          <w:color w:val="434343"/>
        </w:rPr>
        <w:t>670</w:t>
      </w:r>
      <w:r w:rsidR="00C853A7" w:rsidRPr="00C853A7">
        <w:rPr>
          <w:color w:val="434343"/>
        </w:rPr>
        <w:t xml:space="preserve"> </w:t>
      </w:r>
      <w:r w:rsidR="004E1CC6">
        <w:rPr>
          <w:color w:val="434343"/>
        </w:rPr>
        <w:t>better</w:t>
      </w:r>
      <w:r w:rsidR="00C853A7">
        <w:rPr>
          <w:color w:val="434343"/>
        </w:rPr>
        <w:t xml:space="preserve"> employment opportunities</w:t>
      </w:r>
      <w:r>
        <w:rPr>
          <w:color w:val="434343"/>
        </w:rPr>
        <w:t>,</w:t>
      </w:r>
      <w:r w:rsidR="00C853A7">
        <w:rPr>
          <w:color w:val="434343"/>
        </w:rPr>
        <w:t xml:space="preserve"> and </w:t>
      </w:r>
      <w:r>
        <w:rPr>
          <w:color w:val="434343"/>
        </w:rPr>
        <w:t xml:space="preserve">the </w:t>
      </w:r>
      <w:r w:rsidR="00C853A7">
        <w:rPr>
          <w:color w:val="434343"/>
        </w:rPr>
        <w:t>establish</w:t>
      </w:r>
      <w:r>
        <w:rPr>
          <w:color w:val="434343"/>
        </w:rPr>
        <w:t xml:space="preserve">ment of five </w:t>
      </w:r>
      <w:r w:rsidR="00C853A7">
        <w:rPr>
          <w:color w:val="434343"/>
        </w:rPr>
        <w:t>MSEs</w:t>
      </w:r>
      <w:r w:rsidR="00C853A7" w:rsidRPr="00C853A7">
        <w:rPr>
          <w:color w:val="434343"/>
        </w:rPr>
        <w:t xml:space="preserve"> contributing to the sustainable development </w:t>
      </w:r>
      <w:r w:rsidR="00C853A7">
        <w:rPr>
          <w:color w:val="434343"/>
        </w:rPr>
        <w:t xml:space="preserve">and promotion </w:t>
      </w:r>
      <w:r w:rsidR="00C853A7" w:rsidRPr="00C853A7">
        <w:rPr>
          <w:color w:val="434343"/>
        </w:rPr>
        <w:t>of cultural heritage in Jordan.</w:t>
      </w:r>
    </w:p>
    <w:p w14:paraId="1044E832" w14:textId="2A4D5856" w:rsidR="00065E22" w:rsidRPr="002316F8" w:rsidRDefault="007A0009" w:rsidP="002316F8">
      <w:pPr>
        <w:widowControl w:val="0"/>
        <w:numPr>
          <w:ilvl w:val="0"/>
          <w:numId w:val="1"/>
        </w:numPr>
        <w:spacing w:before="200" w:after="200" w:line="276" w:lineRule="auto"/>
        <w:jc w:val="both"/>
        <w:rPr>
          <w:rFonts w:ascii="Calibri" w:eastAsia="Calibri" w:hAnsi="Calibri" w:cs="Calibri"/>
          <w:color w:val="000000"/>
          <w:sz w:val="24"/>
          <w:szCs w:val="24"/>
        </w:rPr>
      </w:pPr>
      <w:r>
        <w:rPr>
          <w:color w:val="434343"/>
        </w:rPr>
        <w:t>C</w:t>
      </w:r>
      <w:r w:rsidR="00C853A7" w:rsidRPr="00065E22">
        <w:rPr>
          <w:color w:val="434343"/>
        </w:rPr>
        <w:t xml:space="preserve">onnected </w:t>
      </w:r>
      <w:r w:rsidR="00971F62" w:rsidRPr="00065E22">
        <w:rPr>
          <w:color w:val="434343"/>
        </w:rPr>
        <w:t>1427</w:t>
      </w:r>
      <w:r w:rsidR="00C853A7" w:rsidRPr="00065E22">
        <w:rPr>
          <w:color w:val="434343"/>
        </w:rPr>
        <w:t xml:space="preserve"> beneficiaries from </w:t>
      </w:r>
      <w:r w:rsidR="00971F62" w:rsidRPr="00065E22">
        <w:rPr>
          <w:color w:val="434343"/>
        </w:rPr>
        <w:t>100</w:t>
      </w:r>
      <w:r w:rsidR="00C853A7" w:rsidRPr="00065E22">
        <w:rPr>
          <w:color w:val="434343"/>
        </w:rPr>
        <w:t xml:space="preserve"> entities </w:t>
      </w:r>
      <w:r>
        <w:rPr>
          <w:color w:val="434343"/>
        </w:rPr>
        <w:t>in</w:t>
      </w:r>
      <w:r w:rsidRPr="00065E22">
        <w:rPr>
          <w:color w:val="434343"/>
        </w:rPr>
        <w:t xml:space="preserve"> </w:t>
      </w:r>
      <w:r w:rsidR="002316F8">
        <w:rPr>
          <w:color w:val="434343"/>
        </w:rPr>
        <w:t>8</w:t>
      </w:r>
      <w:r w:rsidR="00C853A7" w:rsidRPr="00065E22">
        <w:rPr>
          <w:color w:val="434343"/>
        </w:rPr>
        <w:t xml:space="preserve"> different countries to exchange knowledge and skills for better management of Jordan’s </w:t>
      </w:r>
      <w:r w:rsidR="002316F8">
        <w:rPr>
          <w:color w:val="434343"/>
        </w:rPr>
        <w:t>c</w:t>
      </w:r>
      <w:r w:rsidR="00C853A7" w:rsidRPr="00065E22">
        <w:rPr>
          <w:color w:val="434343"/>
        </w:rPr>
        <w:t xml:space="preserve">ultural </w:t>
      </w:r>
      <w:r w:rsidR="002316F8">
        <w:rPr>
          <w:color w:val="434343"/>
        </w:rPr>
        <w:t>h</w:t>
      </w:r>
      <w:r w:rsidR="00C853A7" w:rsidRPr="00065E22">
        <w:rPr>
          <w:color w:val="434343"/>
        </w:rPr>
        <w:t xml:space="preserve">eritage. </w:t>
      </w:r>
      <w:r w:rsidR="002316F8">
        <w:rPr>
          <w:color w:val="434343"/>
        </w:rPr>
        <w:t xml:space="preserve">The results of these efforts were covered in 68 press releases, 54 articles, 21 publications, 20 blogs, 20 presentations, 13 lectures, 8 TV shows and 13 </w:t>
      </w:r>
      <w:r w:rsidR="0002064F">
        <w:rPr>
          <w:color w:val="434343"/>
        </w:rPr>
        <w:t xml:space="preserve">academic </w:t>
      </w:r>
      <w:r w:rsidR="002316F8">
        <w:rPr>
          <w:color w:val="434343"/>
        </w:rPr>
        <w:t>papers.</w:t>
      </w:r>
      <w:r w:rsidR="00C853A7" w:rsidRPr="00065E22">
        <w:rPr>
          <w:color w:val="434343"/>
        </w:rPr>
        <w:t xml:space="preserve"> </w:t>
      </w:r>
    </w:p>
    <w:p w14:paraId="62186285" w14:textId="48ABE672" w:rsidR="006419DD" w:rsidRPr="00065E22" w:rsidRDefault="007A0009" w:rsidP="00065E22">
      <w:pPr>
        <w:widowControl w:val="0"/>
        <w:numPr>
          <w:ilvl w:val="0"/>
          <w:numId w:val="1"/>
        </w:numPr>
        <w:spacing w:before="200" w:after="200" w:line="276" w:lineRule="auto"/>
        <w:jc w:val="both"/>
        <w:rPr>
          <w:rFonts w:ascii="Calibri" w:eastAsia="Calibri" w:hAnsi="Calibri" w:cs="Calibri"/>
          <w:color w:val="000000"/>
          <w:sz w:val="24"/>
          <w:szCs w:val="24"/>
        </w:rPr>
      </w:pPr>
      <w:r>
        <w:rPr>
          <w:color w:val="434343"/>
        </w:rPr>
        <w:t xml:space="preserve"> </w:t>
      </w:r>
      <w:r w:rsidR="00361740">
        <w:rPr>
          <w:color w:val="434343"/>
        </w:rPr>
        <w:t xml:space="preserve">Increased local awareness and </w:t>
      </w:r>
      <w:r w:rsidR="00C853A7" w:rsidRPr="00065E22">
        <w:rPr>
          <w:color w:val="434343"/>
        </w:rPr>
        <w:t>appreciation of archaeology by involving more than 5,500 school children in hands-on activities covering 12 governorates reaching 41 municipalities</w:t>
      </w:r>
      <w:r>
        <w:rPr>
          <w:color w:val="434343"/>
        </w:rPr>
        <w:t xml:space="preserve"> with </w:t>
      </w:r>
      <w:proofErr w:type="gramStart"/>
      <w:r>
        <w:rPr>
          <w:color w:val="434343"/>
        </w:rPr>
        <w:t xml:space="preserve">a </w:t>
      </w:r>
      <w:r w:rsidR="00C853A7" w:rsidRPr="00065E22">
        <w:rPr>
          <w:color w:val="434343"/>
        </w:rPr>
        <w:t xml:space="preserve"> focus</w:t>
      </w:r>
      <w:proofErr w:type="gramEnd"/>
      <w:r w:rsidR="00C853A7" w:rsidRPr="00065E22">
        <w:rPr>
          <w:color w:val="434343"/>
        </w:rPr>
        <w:t xml:space="preserve"> on vulnerable and marginalized communities.</w:t>
      </w:r>
    </w:p>
    <w:sectPr w:rsidR="006419DD" w:rsidRPr="00065E22" w:rsidSect="00065E22">
      <w:headerReference w:type="default" r:id="rId7"/>
      <w:footerReference w:type="even" r:id="rId8"/>
      <w:footerReference w:type="default" r:id="rId9"/>
      <w:headerReference w:type="first" r:id="rId10"/>
      <w:footerReference w:type="first" r:id="rId11"/>
      <w:pgSz w:w="12240" w:h="15840"/>
      <w:pgMar w:top="1440" w:right="1440" w:bottom="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DDF8FF" w14:textId="77777777" w:rsidR="007D6BB4" w:rsidRDefault="007D6BB4">
      <w:pPr>
        <w:spacing w:after="0"/>
      </w:pPr>
      <w:r>
        <w:separator/>
      </w:r>
    </w:p>
  </w:endnote>
  <w:endnote w:type="continuationSeparator" w:id="0">
    <w:p w14:paraId="0E96948C" w14:textId="77777777" w:rsidR="007D6BB4" w:rsidRDefault="007D6BB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Gill Sans">
    <w:altName w:val="Calibri"/>
    <w:charset w:val="00"/>
    <w:family w:val="auto"/>
    <w:pitch w:val="default"/>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186287" w14:textId="77777777" w:rsidR="006419DD" w:rsidRDefault="00C231A3">
    <w:pPr>
      <w:pBdr>
        <w:top w:val="nil"/>
        <w:left w:val="nil"/>
        <w:bottom w:val="nil"/>
        <w:right w:val="nil"/>
        <w:between w:val="nil"/>
      </w:pBdr>
      <w:tabs>
        <w:tab w:val="center" w:pos="4320"/>
        <w:tab w:val="right" w:pos="8640"/>
      </w:tabs>
      <w:spacing w:after="0"/>
      <w:jc w:val="right"/>
      <w:rPr>
        <w:smallCaps/>
        <w:sz w:val="16"/>
        <w:szCs w:val="16"/>
      </w:rPr>
    </w:pPr>
    <w:r>
      <w:rPr>
        <w:smallCaps/>
        <w:sz w:val="16"/>
        <w:szCs w:val="16"/>
      </w:rPr>
      <w:fldChar w:fldCharType="begin"/>
    </w:r>
    <w:r>
      <w:rPr>
        <w:smallCaps/>
        <w:sz w:val="16"/>
        <w:szCs w:val="16"/>
      </w:rPr>
      <w:instrText>PAGE</w:instrText>
    </w:r>
    <w:r>
      <w:rPr>
        <w:smallCaps/>
        <w:sz w:val="16"/>
        <w:szCs w:val="16"/>
      </w:rPr>
      <w:fldChar w:fldCharType="end"/>
    </w:r>
  </w:p>
  <w:p w14:paraId="62186288" w14:textId="77777777" w:rsidR="006419DD" w:rsidRDefault="006419DD">
    <w:pPr>
      <w:pBdr>
        <w:top w:val="nil"/>
        <w:left w:val="nil"/>
        <w:bottom w:val="nil"/>
        <w:right w:val="nil"/>
        <w:between w:val="nil"/>
      </w:pBdr>
      <w:tabs>
        <w:tab w:val="center" w:pos="4320"/>
        <w:tab w:val="right" w:pos="8640"/>
      </w:tabs>
      <w:spacing w:after="0"/>
      <w:ind w:right="360"/>
      <w:rPr>
        <w:smallCaps/>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186289" w14:textId="77777777" w:rsidR="006419DD" w:rsidRDefault="006419DD">
    <w:pPr>
      <w:tabs>
        <w:tab w:val="center" w:pos="4320"/>
        <w:tab w:val="right" w:pos="8640"/>
      </w:tabs>
      <w:spacing w:after="0"/>
      <w:rPr>
        <w:sz w:val="18"/>
        <w:szCs w:val="18"/>
        <w:highlight w:val="white"/>
      </w:rPr>
    </w:pPr>
  </w:p>
  <w:p w14:paraId="6218628A" w14:textId="77777777" w:rsidR="006419DD" w:rsidRDefault="006419DD">
    <w:pPr>
      <w:tabs>
        <w:tab w:val="center" w:pos="4320"/>
        <w:tab w:val="right" w:pos="8640"/>
      </w:tabs>
      <w:spacing w:after="0"/>
      <w:rPr>
        <w:b/>
        <w:smallCaps/>
        <w:sz w:val="16"/>
        <w:szCs w:val="16"/>
      </w:rPr>
    </w:pPr>
  </w:p>
  <w:p w14:paraId="6218628B" w14:textId="75470AAF" w:rsidR="006419DD" w:rsidRDefault="00C231A3">
    <w:pPr>
      <w:pBdr>
        <w:top w:val="nil"/>
        <w:left w:val="nil"/>
        <w:bottom w:val="nil"/>
        <w:right w:val="nil"/>
        <w:between w:val="nil"/>
      </w:pBdr>
      <w:tabs>
        <w:tab w:val="center" w:pos="4320"/>
        <w:tab w:val="right" w:pos="8640"/>
      </w:tabs>
      <w:spacing w:after="0"/>
      <w:ind w:right="360"/>
      <w:rPr>
        <w:color w:val="B7B7B7"/>
        <w:sz w:val="18"/>
        <w:szCs w:val="18"/>
        <w:highlight w:val="white"/>
      </w:rPr>
    </w:pPr>
    <w:r>
      <w:rPr>
        <w:smallCaps/>
        <w:sz w:val="18"/>
        <w:szCs w:val="18"/>
      </w:rPr>
      <w:t>usaid.gov</w:t>
    </w:r>
    <w:r>
      <w:rPr>
        <w:sz w:val="18"/>
        <w:szCs w:val="18"/>
        <w:highlight w:val="white"/>
      </w:rPr>
      <w:tab/>
    </w:r>
    <w:r>
      <w:rPr>
        <w:sz w:val="18"/>
        <w:szCs w:val="18"/>
        <w:highlight w:val="white"/>
      </w:rPr>
      <w:tab/>
      <w:t xml:space="preserve">   </w:t>
    </w:r>
    <w:r>
      <w:rPr>
        <w:sz w:val="18"/>
        <w:szCs w:val="18"/>
        <w:highlight w:val="white"/>
      </w:rPr>
      <w:fldChar w:fldCharType="begin"/>
    </w:r>
    <w:r>
      <w:rPr>
        <w:sz w:val="18"/>
        <w:szCs w:val="18"/>
        <w:highlight w:val="white"/>
      </w:rPr>
      <w:instrText>PAGE</w:instrText>
    </w:r>
    <w:r>
      <w:rPr>
        <w:sz w:val="18"/>
        <w:szCs w:val="18"/>
        <w:highlight w:val="white"/>
      </w:rPr>
      <w:fldChar w:fldCharType="separate"/>
    </w:r>
    <w:r w:rsidR="00AC158D">
      <w:rPr>
        <w:noProof/>
        <w:sz w:val="18"/>
        <w:szCs w:val="18"/>
        <w:highlight w:val="white"/>
      </w:rPr>
      <w:t>2</w:t>
    </w:r>
    <w:r>
      <w:rPr>
        <w:sz w:val="18"/>
        <w:szCs w:val="18"/>
        <w:highlight w:val="white"/>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18628E" w14:textId="4DE595CA" w:rsidR="006419DD" w:rsidRDefault="00C231A3">
    <w:pPr>
      <w:tabs>
        <w:tab w:val="center" w:pos="4320"/>
        <w:tab w:val="right" w:pos="8640"/>
      </w:tabs>
      <w:spacing w:after="0"/>
      <w:ind w:right="360"/>
      <w:jc w:val="right"/>
      <w:rPr>
        <w:color w:val="B7B7B7"/>
        <w:sz w:val="16"/>
        <w:szCs w:val="16"/>
        <w:highlight w:val="white"/>
      </w:rPr>
    </w:pPr>
    <w:r>
      <w:rPr>
        <w:smallCaps/>
        <w:sz w:val="18"/>
        <w:szCs w:val="18"/>
      </w:rPr>
      <w:t>usaid.gov</w:t>
    </w:r>
    <w:r>
      <w:rPr>
        <w:smallCaps/>
        <w:sz w:val="18"/>
        <w:szCs w:val="18"/>
      </w:rPr>
      <w:tab/>
    </w:r>
    <w:r>
      <w:rPr>
        <w:smallCaps/>
        <w:sz w:val="18"/>
        <w:szCs w:val="18"/>
      </w:rPr>
      <w:tab/>
    </w:r>
    <w:r>
      <w:rPr>
        <w:color w:val="B7B7B7"/>
        <w:sz w:val="16"/>
        <w:szCs w:val="16"/>
        <w:highlight w:val="white"/>
      </w:rPr>
      <w:fldChar w:fldCharType="begin"/>
    </w:r>
    <w:r>
      <w:rPr>
        <w:color w:val="B7B7B7"/>
        <w:sz w:val="16"/>
        <w:szCs w:val="16"/>
        <w:highlight w:val="white"/>
      </w:rPr>
      <w:instrText>PAGE</w:instrText>
    </w:r>
    <w:r>
      <w:rPr>
        <w:color w:val="B7B7B7"/>
        <w:sz w:val="16"/>
        <w:szCs w:val="16"/>
        <w:highlight w:val="white"/>
      </w:rPr>
      <w:fldChar w:fldCharType="separate"/>
    </w:r>
    <w:r w:rsidR="00AC158D">
      <w:rPr>
        <w:noProof/>
        <w:color w:val="B7B7B7"/>
        <w:sz w:val="16"/>
        <w:szCs w:val="16"/>
        <w:highlight w:val="white"/>
      </w:rPr>
      <w:t>1</w:t>
    </w:r>
    <w:r>
      <w:rPr>
        <w:color w:val="B7B7B7"/>
        <w:sz w:val="16"/>
        <w:szCs w:val="16"/>
        <w:highlight w:val="white"/>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3203E0" w14:textId="77777777" w:rsidR="007D6BB4" w:rsidRDefault="007D6BB4">
      <w:pPr>
        <w:spacing w:after="0"/>
      </w:pPr>
      <w:r>
        <w:separator/>
      </w:r>
    </w:p>
  </w:footnote>
  <w:footnote w:type="continuationSeparator" w:id="0">
    <w:p w14:paraId="4DFECD46" w14:textId="77777777" w:rsidR="007D6BB4" w:rsidRDefault="007D6BB4">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186286" w14:textId="77777777" w:rsidR="006419DD" w:rsidRDefault="006419DD">
    <w:pPr>
      <w:jc w:val="right"/>
      <w:rPr>
        <w:color w:val="B7B7B7"/>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F9BC99" w14:textId="0DD64F3E" w:rsidR="00187B28" w:rsidRDefault="00187B28">
    <w:pPr>
      <w:rPr>
        <w:color w:val="FF0000"/>
      </w:rPr>
    </w:pPr>
    <w:r>
      <w:rPr>
        <w:noProof/>
      </w:rPr>
      <w:drawing>
        <wp:anchor distT="0" distB="0" distL="0" distR="0" simplePos="0" relativeHeight="251658240" behindDoc="0" locked="0" layoutInCell="1" hidden="0" allowOverlap="1" wp14:anchorId="6218628F" wp14:editId="7B7E0A9F">
          <wp:simplePos x="0" y="0"/>
          <wp:positionH relativeFrom="column">
            <wp:posOffset>-504190</wp:posOffset>
          </wp:positionH>
          <wp:positionV relativeFrom="paragraph">
            <wp:posOffset>14605</wp:posOffset>
          </wp:positionV>
          <wp:extent cx="2128644" cy="833438"/>
          <wp:effectExtent l="0" t="0" r="0" b="0"/>
          <wp:wrapNone/>
          <wp:docPr id="4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128644" cy="833438"/>
                  </a:xfrm>
                  <a:prstGeom prst="rect">
                    <a:avLst/>
                  </a:prstGeom>
                  <a:ln/>
                </pic:spPr>
              </pic:pic>
            </a:graphicData>
          </a:graphic>
        </wp:anchor>
      </w:drawing>
    </w:r>
  </w:p>
  <w:p w14:paraId="6218628C" w14:textId="628B1CA2" w:rsidR="006419DD" w:rsidRDefault="006419DD">
    <w:pPr>
      <w:rPr>
        <w:color w:val="FF0000"/>
      </w:rPr>
    </w:pPr>
  </w:p>
  <w:p w14:paraId="71DBC031" w14:textId="77777777" w:rsidR="00187B28" w:rsidRDefault="00187B28">
    <w:pPr>
      <w:jc w:val="right"/>
      <w:rPr>
        <w:color w:val="FF0000"/>
      </w:rPr>
    </w:pPr>
  </w:p>
  <w:p w14:paraId="55275A03" w14:textId="062A6B98" w:rsidR="00187B28" w:rsidRDefault="00187B28">
    <w:pPr>
      <w:jc w:val="right"/>
      <w:rPr>
        <w:color w:val="FF0000"/>
      </w:rPr>
    </w:pPr>
    <w:r>
      <w:rPr>
        <w:noProof/>
        <w:color w:val="FF0000"/>
      </w:rPr>
      <w:drawing>
        <wp:anchor distT="114300" distB="114300" distL="114300" distR="114300" simplePos="0" relativeHeight="251659264" behindDoc="1" locked="0" layoutInCell="1" hidden="0" allowOverlap="1" wp14:anchorId="62186291" wp14:editId="6E1C734D">
          <wp:simplePos x="0" y="0"/>
          <wp:positionH relativeFrom="page">
            <wp:posOffset>-9525</wp:posOffset>
          </wp:positionH>
          <wp:positionV relativeFrom="page">
            <wp:posOffset>1304925</wp:posOffset>
          </wp:positionV>
          <wp:extent cx="8010525" cy="3190875"/>
          <wp:effectExtent l="0" t="0" r="9525" b="9525"/>
          <wp:wrapNone/>
          <wp:docPr id="51" name="image2.jpg"/>
          <wp:cNvGraphicFramePr/>
          <a:graphic xmlns:a="http://schemas.openxmlformats.org/drawingml/2006/main">
            <a:graphicData uri="http://schemas.openxmlformats.org/drawingml/2006/picture">
              <pic:pic xmlns:pic="http://schemas.openxmlformats.org/drawingml/2006/picture">
                <pic:nvPicPr>
                  <pic:cNvPr id="51" name="image2.jpg"/>
                  <pic:cNvPicPr preferRelativeResize="0"/>
                </pic:nvPicPr>
                <pic:blipFill>
                  <a:blip r:embed="rId2">
                    <a:extLst>
                      <a:ext uri="{28A0092B-C50C-407E-A947-70E740481C1C}">
                        <a14:useLocalDpi xmlns:a14="http://schemas.microsoft.com/office/drawing/2010/main" val="0"/>
                      </a:ext>
                    </a:extLst>
                  </a:blip>
                  <a:srcRect t="20131" b="20131"/>
                  <a:stretch>
                    <a:fillRect/>
                  </a:stretch>
                </pic:blipFill>
                <pic:spPr>
                  <a:xfrm>
                    <a:off x="0" y="0"/>
                    <a:ext cx="8010525" cy="3190875"/>
                  </a:xfrm>
                  <a:prstGeom prst="rect">
                    <a:avLst/>
                  </a:prstGeom>
                  <a:ln/>
                </pic:spPr>
              </pic:pic>
            </a:graphicData>
          </a:graphic>
        </wp:anchor>
      </w:drawing>
    </w:r>
  </w:p>
  <w:p w14:paraId="777F63D0" w14:textId="77777777" w:rsidR="00187B28" w:rsidRDefault="00187B28">
    <w:pPr>
      <w:jc w:val="right"/>
      <w:rPr>
        <w:color w:val="FF0000"/>
      </w:rPr>
    </w:pPr>
  </w:p>
  <w:p w14:paraId="412A139D" w14:textId="77777777" w:rsidR="00187B28" w:rsidRDefault="00187B28">
    <w:pPr>
      <w:jc w:val="right"/>
      <w:rPr>
        <w:color w:val="FF0000"/>
      </w:rPr>
    </w:pPr>
  </w:p>
  <w:p w14:paraId="43B8396D" w14:textId="77777777" w:rsidR="00187B28" w:rsidRDefault="00187B28">
    <w:pPr>
      <w:jc w:val="right"/>
      <w:rPr>
        <w:color w:val="FF0000"/>
      </w:rPr>
    </w:pPr>
  </w:p>
  <w:p w14:paraId="00F51123" w14:textId="77777777" w:rsidR="00187B28" w:rsidRDefault="00187B28">
    <w:pPr>
      <w:jc w:val="right"/>
      <w:rPr>
        <w:color w:val="FF0000"/>
      </w:rPr>
    </w:pPr>
  </w:p>
  <w:p w14:paraId="75D2FF9C" w14:textId="77777777" w:rsidR="00187B28" w:rsidRDefault="00187B28">
    <w:pPr>
      <w:jc w:val="right"/>
      <w:rPr>
        <w:color w:val="FF0000"/>
      </w:rPr>
    </w:pPr>
  </w:p>
  <w:p w14:paraId="68A38DE9" w14:textId="77777777" w:rsidR="00187B28" w:rsidRDefault="00187B28">
    <w:pPr>
      <w:jc w:val="right"/>
      <w:rPr>
        <w:color w:val="FF0000"/>
      </w:rPr>
    </w:pPr>
  </w:p>
  <w:p w14:paraId="2DEBE605" w14:textId="77777777" w:rsidR="00187B28" w:rsidRDefault="00187B28">
    <w:pPr>
      <w:jc w:val="right"/>
      <w:rPr>
        <w:color w:val="FF0000"/>
      </w:rPr>
    </w:pPr>
  </w:p>
  <w:p w14:paraId="446D8E3B" w14:textId="77777777" w:rsidR="00187B28" w:rsidRDefault="00187B28">
    <w:pPr>
      <w:jc w:val="right"/>
      <w:rPr>
        <w:color w:val="FF0000"/>
      </w:rPr>
    </w:pPr>
  </w:p>
  <w:p w14:paraId="6218628D" w14:textId="69EEB88A" w:rsidR="006419DD" w:rsidRDefault="006419DD">
    <w:pPr>
      <w:jc w:val="right"/>
      <w:rPr>
        <w:color w:val="FF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C8472D2"/>
    <w:multiLevelType w:val="multilevel"/>
    <w:tmpl w:val="76E242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5528853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19DD"/>
    <w:rsid w:val="00015DDA"/>
    <w:rsid w:val="0002064F"/>
    <w:rsid w:val="00065E22"/>
    <w:rsid w:val="00067373"/>
    <w:rsid w:val="000863BE"/>
    <w:rsid w:val="000C1045"/>
    <w:rsid w:val="000C24C6"/>
    <w:rsid w:val="00187B28"/>
    <w:rsid w:val="002316F8"/>
    <w:rsid w:val="00236E2A"/>
    <w:rsid w:val="002B4DA9"/>
    <w:rsid w:val="002C3149"/>
    <w:rsid w:val="002D42AC"/>
    <w:rsid w:val="00361740"/>
    <w:rsid w:val="004932E0"/>
    <w:rsid w:val="004A4AB8"/>
    <w:rsid w:val="004E1CC6"/>
    <w:rsid w:val="00606472"/>
    <w:rsid w:val="0062154E"/>
    <w:rsid w:val="006419DD"/>
    <w:rsid w:val="00670316"/>
    <w:rsid w:val="006B182A"/>
    <w:rsid w:val="006F70F3"/>
    <w:rsid w:val="0077186B"/>
    <w:rsid w:val="007A0009"/>
    <w:rsid w:val="007B052B"/>
    <w:rsid w:val="007D540D"/>
    <w:rsid w:val="007D6BB4"/>
    <w:rsid w:val="007E2A60"/>
    <w:rsid w:val="008A2BE6"/>
    <w:rsid w:val="00920BDB"/>
    <w:rsid w:val="00937F5F"/>
    <w:rsid w:val="00971F62"/>
    <w:rsid w:val="009C53D6"/>
    <w:rsid w:val="009C5F88"/>
    <w:rsid w:val="009D73B9"/>
    <w:rsid w:val="00A34921"/>
    <w:rsid w:val="00A445D3"/>
    <w:rsid w:val="00A50A4F"/>
    <w:rsid w:val="00A562EB"/>
    <w:rsid w:val="00A5689A"/>
    <w:rsid w:val="00A577CE"/>
    <w:rsid w:val="00A66F38"/>
    <w:rsid w:val="00AC158D"/>
    <w:rsid w:val="00C231A3"/>
    <w:rsid w:val="00C47FED"/>
    <w:rsid w:val="00C72543"/>
    <w:rsid w:val="00C853A7"/>
    <w:rsid w:val="00D36DC8"/>
    <w:rsid w:val="00DA6443"/>
    <w:rsid w:val="00DF0B62"/>
    <w:rsid w:val="00DF5A06"/>
    <w:rsid w:val="00F36A80"/>
    <w:rsid w:val="00F4564C"/>
    <w:rsid w:val="00FB528D"/>
    <w:rsid w:val="00FC7911"/>
    <w:rsid w:val="00FD631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18626E"/>
  <w15:docId w15:val="{B4149DB5-F60D-4E1D-860D-4B6C8B31DC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Gill Sans" w:eastAsia="Gill Sans" w:hAnsi="Gill Sans" w:cs="Gill Sans"/>
        <w:color w:val="6C6463"/>
        <w:sz w:val="22"/>
        <w:szCs w:val="22"/>
        <w:lang w:val="en-US" w:eastAsia="en-US" w:bidi="ar-SA"/>
      </w:rPr>
    </w:rPrDefault>
    <w:pPrDefault>
      <w:pPr>
        <w:spacing w:after="24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spacing w:before="360" w:after="120"/>
      <w:outlineLvl w:val="0"/>
    </w:pPr>
    <w:rPr>
      <w:b/>
      <w:smallCaps/>
      <w:color w:val="C2113A"/>
      <w:sz w:val="28"/>
      <w:szCs w:val="28"/>
    </w:rPr>
  </w:style>
  <w:style w:type="paragraph" w:styleId="Heading2">
    <w:name w:val="heading 2"/>
    <w:basedOn w:val="Normal"/>
    <w:next w:val="Normal"/>
    <w:uiPriority w:val="9"/>
    <w:unhideWhenUsed/>
    <w:qFormat/>
    <w:pPr>
      <w:spacing w:before="360" w:after="120"/>
      <w:outlineLvl w:val="1"/>
    </w:pPr>
    <w:rPr>
      <w:b/>
      <w:smallCaps/>
      <w:color w:val="000000"/>
      <w:sz w:val="20"/>
      <w:szCs w:val="20"/>
    </w:rPr>
  </w:style>
  <w:style w:type="paragraph" w:styleId="Heading3">
    <w:name w:val="heading 3"/>
    <w:basedOn w:val="Normal"/>
    <w:next w:val="Normal"/>
    <w:uiPriority w:val="9"/>
    <w:semiHidden/>
    <w:unhideWhenUsed/>
    <w:qFormat/>
    <w:pPr>
      <w:spacing w:before="360" w:after="120"/>
      <w:outlineLvl w:val="2"/>
    </w:pPr>
    <w:rPr>
      <w:smallCaps/>
      <w:color w:val="C2113A"/>
      <w:sz w:val="20"/>
      <w:szCs w:val="20"/>
    </w:rPr>
  </w:style>
  <w:style w:type="paragraph" w:styleId="Heading4">
    <w:name w:val="heading 4"/>
    <w:basedOn w:val="Normal"/>
    <w:next w:val="Normal"/>
    <w:uiPriority w:val="9"/>
    <w:semiHidden/>
    <w:unhideWhenUsed/>
    <w:qFormat/>
    <w:pPr>
      <w:outlineLvl w:val="3"/>
    </w:pPr>
    <w:rPr>
      <w:b/>
      <w:smallCaps/>
      <w:sz w:val="20"/>
      <w:szCs w:val="20"/>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rPr>
      <w:smallCaps/>
      <w:color w:val="C2113A"/>
      <w:sz w:val="52"/>
      <w:szCs w:val="52"/>
    </w:rPr>
  </w:style>
  <w:style w:type="paragraph" w:styleId="Subtitle">
    <w:name w:val="Subtitle"/>
    <w:basedOn w:val="Normal"/>
    <w:next w:val="Normal"/>
    <w:uiPriority w:val="11"/>
    <w:qFormat/>
    <w:pPr>
      <w:spacing w:after="360"/>
    </w:pPr>
    <w:rPr>
      <w:sz w:val="32"/>
      <w:szCs w:val="32"/>
    </w:rPr>
  </w:style>
  <w:style w:type="paragraph" w:styleId="Header">
    <w:name w:val="header"/>
    <w:basedOn w:val="Normal"/>
    <w:link w:val="HeaderChar"/>
    <w:uiPriority w:val="99"/>
    <w:unhideWhenUsed/>
    <w:rsid w:val="00A562EB"/>
    <w:pPr>
      <w:tabs>
        <w:tab w:val="center" w:pos="4680"/>
        <w:tab w:val="right" w:pos="9360"/>
      </w:tabs>
      <w:spacing w:after="0"/>
    </w:pPr>
  </w:style>
  <w:style w:type="character" w:customStyle="1" w:styleId="HeaderChar">
    <w:name w:val="Header Char"/>
    <w:basedOn w:val="DefaultParagraphFont"/>
    <w:link w:val="Header"/>
    <w:uiPriority w:val="99"/>
    <w:rsid w:val="00A562EB"/>
  </w:style>
  <w:style w:type="paragraph" w:styleId="NoSpacing">
    <w:name w:val="No Spacing"/>
    <w:uiPriority w:val="1"/>
    <w:qFormat/>
    <w:rsid w:val="007B052B"/>
    <w:pPr>
      <w:spacing w:after="0"/>
    </w:pPr>
  </w:style>
  <w:style w:type="paragraph" w:styleId="BalloonText">
    <w:name w:val="Balloon Text"/>
    <w:basedOn w:val="Normal"/>
    <w:link w:val="BalloonTextChar"/>
    <w:uiPriority w:val="99"/>
    <w:semiHidden/>
    <w:unhideWhenUsed/>
    <w:rsid w:val="0002064F"/>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2064F"/>
    <w:rPr>
      <w:rFonts w:ascii="Segoe UI" w:hAnsi="Segoe UI" w:cs="Segoe UI"/>
      <w:sz w:val="18"/>
      <w:szCs w:val="18"/>
    </w:rPr>
  </w:style>
  <w:style w:type="paragraph" w:styleId="Revision">
    <w:name w:val="Revision"/>
    <w:hidden/>
    <w:uiPriority w:val="99"/>
    <w:semiHidden/>
    <w:rsid w:val="00236E2A"/>
    <w:pPr>
      <w:spacing w:after="0"/>
    </w:pPr>
  </w:style>
  <w:style w:type="character" w:styleId="CommentReference">
    <w:name w:val="annotation reference"/>
    <w:basedOn w:val="DefaultParagraphFont"/>
    <w:uiPriority w:val="99"/>
    <w:semiHidden/>
    <w:unhideWhenUsed/>
    <w:rsid w:val="007D540D"/>
    <w:rPr>
      <w:sz w:val="16"/>
      <w:szCs w:val="16"/>
    </w:rPr>
  </w:style>
  <w:style w:type="paragraph" w:styleId="CommentText">
    <w:name w:val="annotation text"/>
    <w:basedOn w:val="Normal"/>
    <w:link w:val="CommentTextChar"/>
    <w:uiPriority w:val="99"/>
    <w:unhideWhenUsed/>
    <w:rsid w:val="007D540D"/>
    <w:rPr>
      <w:sz w:val="20"/>
      <w:szCs w:val="20"/>
    </w:rPr>
  </w:style>
  <w:style w:type="character" w:customStyle="1" w:styleId="CommentTextChar">
    <w:name w:val="Comment Text Char"/>
    <w:basedOn w:val="DefaultParagraphFont"/>
    <w:link w:val="CommentText"/>
    <w:uiPriority w:val="99"/>
    <w:rsid w:val="007D540D"/>
    <w:rPr>
      <w:sz w:val="20"/>
      <w:szCs w:val="20"/>
    </w:rPr>
  </w:style>
  <w:style w:type="paragraph" w:styleId="CommentSubject">
    <w:name w:val="annotation subject"/>
    <w:basedOn w:val="CommentText"/>
    <w:next w:val="CommentText"/>
    <w:link w:val="CommentSubjectChar"/>
    <w:uiPriority w:val="99"/>
    <w:semiHidden/>
    <w:unhideWhenUsed/>
    <w:rsid w:val="007D540D"/>
    <w:rPr>
      <w:b/>
      <w:bCs/>
    </w:rPr>
  </w:style>
  <w:style w:type="character" w:customStyle="1" w:styleId="CommentSubjectChar">
    <w:name w:val="Comment Subject Char"/>
    <w:basedOn w:val="CommentTextChar"/>
    <w:link w:val="CommentSubject"/>
    <w:uiPriority w:val="99"/>
    <w:semiHidden/>
    <w:rsid w:val="007D540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2.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2</Pages>
  <Words>486</Words>
  <Characters>2772</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Zaid Kashour</dc:creator>
  <cp:lastModifiedBy>Asfour, Marian</cp:lastModifiedBy>
  <cp:revision>2</cp:revision>
  <cp:lastPrinted>2023-05-22T10:00:00Z</cp:lastPrinted>
  <dcterms:created xsi:type="dcterms:W3CDTF">2023-05-31T08:47:00Z</dcterms:created>
  <dcterms:modified xsi:type="dcterms:W3CDTF">2023-05-31T08:47:00Z</dcterms:modified>
</cp:coreProperties>
</file>