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2E4C" w14:textId="77777777" w:rsidR="00E15394" w:rsidRDefault="00E15394">
      <w:pPr>
        <w:spacing w:before="200" w:after="200" w:line="276" w:lineRule="auto"/>
        <w:rPr>
          <w:color w:val="BA0C2F"/>
          <w:sz w:val="60"/>
          <w:szCs w:val="60"/>
        </w:rPr>
      </w:pPr>
    </w:p>
    <w:p w14:paraId="536EE0A4" w14:textId="77777777" w:rsidR="00E15394" w:rsidRDefault="00E15394">
      <w:pPr>
        <w:spacing w:before="200" w:after="200" w:line="276" w:lineRule="auto"/>
        <w:rPr>
          <w:color w:val="BA0C2F"/>
          <w:sz w:val="60"/>
          <w:szCs w:val="60"/>
        </w:rPr>
      </w:pPr>
    </w:p>
    <w:p w14:paraId="5FACD4E9" w14:textId="77777777" w:rsidR="00E15394" w:rsidRDefault="00E15394">
      <w:pPr>
        <w:spacing w:before="200" w:after="200" w:line="276" w:lineRule="auto"/>
        <w:rPr>
          <w:color w:val="BA0C2F"/>
          <w:sz w:val="60"/>
          <w:szCs w:val="60"/>
        </w:rPr>
      </w:pPr>
    </w:p>
    <w:p w14:paraId="0470C69D" w14:textId="77777777" w:rsidR="00E15394" w:rsidRDefault="00E15394">
      <w:pPr>
        <w:spacing w:before="200" w:after="200" w:line="276" w:lineRule="auto"/>
        <w:rPr>
          <w:color w:val="BA0C2F"/>
          <w:sz w:val="60"/>
          <w:szCs w:val="60"/>
        </w:rPr>
      </w:pPr>
    </w:p>
    <w:p w14:paraId="758031F3" w14:textId="77777777" w:rsidR="00E15394" w:rsidRDefault="00F107C2">
      <w:pPr>
        <w:spacing w:before="200" w:after="200" w:line="360" w:lineRule="auto"/>
        <w:jc w:val="right"/>
        <w:rPr>
          <w:color w:val="999999"/>
          <w:sz w:val="16"/>
          <w:szCs w:val="16"/>
        </w:rPr>
      </w:pPr>
      <w:r>
        <w:rPr>
          <w:color w:val="BA0C2F"/>
          <w:sz w:val="60"/>
          <w:szCs w:val="60"/>
        </w:rPr>
        <w:br/>
      </w:r>
      <w:r>
        <w:rPr>
          <w:color w:val="999999"/>
          <w:sz w:val="16"/>
          <w:szCs w:val="16"/>
        </w:rPr>
        <w:t>PHOTO CREDIT USAID/Jordan</w:t>
      </w:r>
    </w:p>
    <w:p w14:paraId="52092AF7" w14:textId="77777777" w:rsidR="00E15394" w:rsidRDefault="00F107C2">
      <w:pPr>
        <w:spacing w:before="200" w:after="200" w:line="120" w:lineRule="auto"/>
        <w:rPr>
          <w:color w:val="002F6C"/>
          <w:sz w:val="16"/>
          <w:szCs w:val="16"/>
        </w:rPr>
      </w:pPr>
      <w:r>
        <w:rPr>
          <w:color w:val="002F6C"/>
          <w:sz w:val="52"/>
          <w:szCs w:val="52"/>
        </w:rPr>
        <w:t xml:space="preserve">JORDAN </w:t>
      </w:r>
    </w:p>
    <w:p w14:paraId="44C230F4" w14:textId="77777777" w:rsidR="00E15394" w:rsidRDefault="00F107C2">
      <w:pPr>
        <w:spacing w:before="200" w:after="200" w:line="180" w:lineRule="auto"/>
        <w:rPr>
          <w:color w:val="002F6C"/>
          <w:sz w:val="32"/>
          <w:szCs w:val="32"/>
        </w:rPr>
      </w:pPr>
      <w:r>
        <w:rPr>
          <w:color w:val="002F6C"/>
          <w:sz w:val="52"/>
          <w:szCs w:val="52"/>
        </w:rPr>
        <w:t>LOCAL HEALTH SYSTEM SUSTAINABILITY FACT SHEET</w:t>
      </w:r>
    </w:p>
    <w:p w14:paraId="68DCD7B5" w14:textId="77777777" w:rsidR="00E15394" w:rsidRDefault="00F107C2">
      <w:pPr>
        <w:pStyle w:val="Heading2"/>
        <w:spacing w:before="400" w:after="200" w:line="276" w:lineRule="auto"/>
        <w:rPr>
          <w:color w:val="0067B9"/>
          <w:sz w:val="28"/>
          <w:szCs w:val="28"/>
        </w:rPr>
      </w:pPr>
      <w:bookmarkStart w:id="0" w:name="_heading=h.gjdgxs" w:colFirst="0" w:colLast="0"/>
      <w:bookmarkEnd w:id="0"/>
      <w:r>
        <w:rPr>
          <w:color w:val="0067B9"/>
          <w:sz w:val="28"/>
          <w:szCs w:val="28"/>
        </w:rPr>
        <w:t xml:space="preserve">BACKGROUND </w:t>
      </w:r>
    </w:p>
    <w:p w14:paraId="7B4C1723" w14:textId="77777777" w:rsidR="00E15394" w:rsidRDefault="00F107C2">
      <w:pPr>
        <w:pStyle w:val="Heading2"/>
        <w:spacing w:before="300" w:after="200" w:line="276" w:lineRule="auto"/>
        <w:rPr>
          <w:b w:val="0"/>
          <w:color w:val="C2113A"/>
          <w:sz w:val="36"/>
          <w:szCs w:val="36"/>
        </w:rPr>
      </w:pPr>
      <w:r>
        <w:rPr>
          <w:b w:val="0"/>
          <w:smallCaps w:val="0"/>
          <w:color w:val="434343"/>
          <w:sz w:val="22"/>
          <w:szCs w:val="22"/>
        </w:rPr>
        <w:t>Although Jordan has a talented health workforce, until 2018 there was no mandatory requirement for healthcare providers to complete continuing professional development to advance their skills, nor was there a national system to monitor the renewal of their</w:t>
      </w:r>
      <w:r>
        <w:rPr>
          <w:b w:val="0"/>
          <w:smallCaps w:val="0"/>
          <w:color w:val="434343"/>
          <w:sz w:val="22"/>
          <w:szCs w:val="22"/>
        </w:rPr>
        <w:t xml:space="preserve"> licenses to practice. Additionally, Jordan records  lower health outcomes compared to other countries in the region with similar levels of health expenditures. Jordan’s national health strategies and policies prioritize the delivery of the high quality he</w:t>
      </w:r>
      <w:r>
        <w:rPr>
          <w:b w:val="0"/>
          <w:smallCaps w:val="0"/>
          <w:color w:val="434343"/>
          <w:sz w:val="22"/>
          <w:szCs w:val="22"/>
        </w:rPr>
        <w:t>althcare services by qualified professionals. However, a barrier to good quality is the absence of a national health professional license renewal system that effectively tracks providers’ licenses and monitors their continuing professional development (CPD</w:t>
      </w:r>
      <w:r>
        <w:rPr>
          <w:b w:val="0"/>
          <w:smallCaps w:val="0"/>
          <w:color w:val="434343"/>
          <w:sz w:val="22"/>
          <w:szCs w:val="22"/>
        </w:rPr>
        <w:t xml:space="preserve">).  In response to this challenge, in 2018, the </w:t>
      </w:r>
      <w:r>
        <w:rPr>
          <w:b w:val="0"/>
          <w:smallCaps w:val="0"/>
          <w:color w:val="434343"/>
          <w:sz w:val="22"/>
          <w:szCs w:val="22"/>
        </w:rPr>
        <w:lastRenderedPageBreak/>
        <w:t xml:space="preserve">Government of Jordan, with support from USAID, implemented a legal requirement for all practicing healthcare providers to renew their licenses every five years, with a target deadline of 2023. </w:t>
      </w:r>
    </w:p>
    <w:p w14:paraId="3120987F" w14:textId="77777777" w:rsidR="00E15394" w:rsidRDefault="00F107C2">
      <w:pPr>
        <w:pStyle w:val="Heading2"/>
        <w:spacing w:before="400" w:after="200" w:line="276" w:lineRule="auto"/>
        <w:rPr>
          <w:b w:val="0"/>
          <w:color w:val="0067B9"/>
          <w:sz w:val="36"/>
          <w:szCs w:val="36"/>
        </w:rPr>
      </w:pPr>
      <w:bookmarkStart w:id="1" w:name="_heading=h.30j0zll" w:colFirst="0" w:colLast="0"/>
      <w:bookmarkEnd w:id="1"/>
      <w:r>
        <w:rPr>
          <w:color w:val="0067B9"/>
          <w:sz w:val="28"/>
          <w:szCs w:val="28"/>
        </w:rPr>
        <w:t xml:space="preserve">GOALS </w:t>
      </w:r>
    </w:p>
    <w:p w14:paraId="4A870080" w14:textId="77777777" w:rsidR="00E15394" w:rsidRDefault="00F107C2">
      <w:pPr>
        <w:pStyle w:val="Heading2"/>
        <w:spacing w:before="300" w:after="200" w:line="276" w:lineRule="auto"/>
        <w:rPr>
          <w:color w:val="434343"/>
        </w:rPr>
      </w:pPr>
      <w:bookmarkStart w:id="2" w:name="_heading=h.1fob9te" w:colFirst="0" w:colLast="0"/>
      <w:bookmarkEnd w:id="2"/>
      <w:r>
        <w:rPr>
          <w:color w:val="666666"/>
          <w:sz w:val="28"/>
          <w:szCs w:val="28"/>
        </w:rPr>
        <w:t>goal on</w:t>
      </w:r>
      <w:r>
        <w:rPr>
          <w:color w:val="666666"/>
          <w:sz w:val="28"/>
          <w:szCs w:val="28"/>
        </w:rPr>
        <w:t xml:space="preserve">e </w:t>
      </w:r>
    </w:p>
    <w:p w14:paraId="382B0977" w14:textId="77777777" w:rsidR="00E15394" w:rsidRDefault="00F107C2">
      <w:pPr>
        <w:widowControl w:val="0"/>
        <w:spacing w:after="200" w:line="276" w:lineRule="auto"/>
        <w:rPr>
          <w:color w:val="434343"/>
        </w:rPr>
      </w:pPr>
      <w:r>
        <w:rPr>
          <w:color w:val="434343"/>
        </w:rPr>
        <w:t>Improve the competencies of healthcare providers to ensure the delivery of high-quality health services by providing support to the Ministry of Health (MOH) in establishing a mandatory CPD and license renewal system.</w:t>
      </w:r>
    </w:p>
    <w:p w14:paraId="6616E156" w14:textId="77777777" w:rsidR="00E15394" w:rsidRDefault="00F107C2">
      <w:pPr>
        <w:pStyle w:val="Heading2"/>
        <w:spacing w:before="400" w:after="200" w:line="276" w:lineRule="auto"/>
        <w:rPr>
          <w:color w:val="666666"/>
        </w:rPr>
      </w:pPr>
      <w:bookmarkStart w:id="3" w:name="_heading=h.3znysh7" w:colFirst="0" w:colLast="0"/>
      <w:bookmarkEnd w:id="3"/>
      <w:r>
        <w:rPr>
          <w:color w:val="666666"/>
          <w:sz w:val="28"/>
          <w:szCs w:val="28"/>
        </w:rPr>
        <w:t xml:space="preserve">goal two </w:t>
      </w:r>
    </w:p>
    <w:p w14:paraId="16CF888C" w14:textId="77777777" w:rsidR="00E15394" w:rsidRDefault="00F107C2">
      <w:pPr>
        <w:widowControl w:val="0"/>
        <w:spacing w:after="200" w:line="276" w:lineRule="auto"/>
        <w:rPr>
          <w:color w:val="434343"/>
        </w:rPr>
      </w:pPr>
      <w:r>
        <w:rPr>
          <w:color w:val="434343"/>
        </w:rPr>
        <w:t>Enhance post-pandemic reco</w:t>
      </w:r>
      <w:r>
        <w:rPr>
          <w:color w:val="434343"/>
        </w:rPr>
        <w:t xml:space="preserve">very efforts  to build more resilient health systems by improving the quality of care at intensive care units (ICU) and in the laboratory sector, and expanding access to essential health services through policy reforms.  </w:t>
      </w:r>
    </w:p>
    <w:p w14:paraId="32B61058" w14:textId="77777777" w:rsidR="00E15394" w:rsidRDefault="00F107C2">
      <w:pPr>
        <w:pStyle w:val="Heading2"/>
        <w:spacing w:before="300" w:after="200" w:line="276" w:lineRule="auto"/>
        <w:rPr>
          <w:b w:val="0"/>
          <w:color w:val="0067B9"/>
          <w:sz w:val="36"/>
          <w:szCs w:val="36"/>
        </w:rPr>
      </w:pPr>
      <w:bookmarkStart w:id="4" w:name="_heading=h.tyjcwt" w:colFirst="0" w:colLast="0"/>
      <w:bookmarkEnd w:id="4"/>
      <w:r>
        <w:rPr>
          <w:color w:val="0067B9"/>
          <w:sz w:val="28"/>
          <w:szCs w:val="28"/>
        </w:rPr>
        <w:t xml:space="preserve">KEY RESULTS </w:t>
      </w:r>
    </w:p>
    <w:p w14:paraId="0D9DBD43" w14:textId="77777777" w:rsidR="00E15394" w:rsidRDefault="00F107C2">
      <w:pPr>
        <w:numPr>
          <w:ilvl w:val="0"/>
          <w:numId w:val="1"/>
        </w:numPr>
        <w:spacing w:after="0" w:line="259" w:lineRule="auto"/>
        <w:rPr>
          <w:color w:val="434343"/>
        </w:rPr>
      </w:pPr>
      <w:r>
        <w:rPr>
          <w:color w:val="434343"/>
        </w:rPr>
        <w:t xml:space="preserve">Supported the MOH in </w:t>
      </w:r>
      <w:r>
        <w:rPr>
          <w:color w:val="434343"/>
        </w:rPr>
        <w:t>launching a nationwide communication campaign to promote CPD.</w:t>
      </w:r>
    </w:p>
    <w:p w14:paraId="77727D24" w14:textId="77777777" w:rsidR="00E15394" w:rsidRDefault="00F107C2">
      <w:pPr>
        <w:numPr>
          <w:ilvl w:val="0"/>
          <w:numId w:val="1"/>
        </w:numPr>
        <w:spacing w:after="0" w:line="259" w:lineRule="auto"/>
        <w:rPr>
          <w:color w:val="434343"/>
        </w:rPr>
      </w:pPr>
      <w:r>
        <w:rPr>
          <w:color w:val="434343"/>
        </w:rPr>
        <w:t>Supported the MOH and private sector in the development of CPD accreditation standards,  financing strategy, national monitoring and evaluation framework, and developed an online platform that a</w:t>
      </w:r>
      <w:r>
        <w:rPr>
          <w:color w:val="434343"/>
        </w:rPr>
        <w:t>llows a large number of healthcare professionals access to CPD hours.</w:t>
      </w:r>
    </w:p>
    <w:p w14:paraId="7E37CB0E" w14:textId="77777777" w:rsidR="00E15394" w:rsidRDefault="00F107C2">
      <w:pPr>
        <w:numPr>
          <w:ilvl w:val="0"/>
          <w:numId w:val="1"/>
        </w:numPr>
        <w:spacing w:after="0" w:line="259" w:lineRule="auto"/>
        <w:jc w:val="both"/>
        <w:rPr>
          <w:color w:val="434343"/>
        </w:rPr>
      </w:pPr>
      <w:r>
        <w:rPr>
          <w:color w:val="434343"/>
        </w:rPr>
        <w:t>Developed and currently implementing a competency framework for ICU healthcare providers endorsed by the Minister of Health. The framework introduces a multidisciplinary team care approa</w:t>
      </w:r>
      <w:r>
        <w:rPr>
          <w:color w:val="434343"/>
        </w:rPr>
        <w:t>ch as a global best practice to enhance ICU services—a new initiative in Jordan’s public hospitals.</w:t>
      </w:r>
    </w:p>
    <w:p w14:paraId="3D75D764" w14:textId="77777777" w:rsidR="00E15394" w:rsidRDefault="00F107C2">
      <w:pPr>
        <w:numPr>
          <w:ilvl w:val="0"/>
          <w:numId w:val="1"/>
        </w:numPr>
        <w:spacing w:after="0" w:line="259" w:lineRule="auto"/>
        <w:jc w:val="both"/>
        <w:rPr>
          <w:color w:val="434343"/>
        </w:rPr>
      </w:pPr>
      <w:r>
        <w:rPr>
          <w:color w:val="434343"/>
        </w:rPr>
        <w:t xml:space="preserve">Introduced the American Heart Association-accredited Life Support Programs Training Center to offer Advanced Cardiac Life Support to support training in this critical component of emergency care.  </w:t>
      </w:r>
    </w:p>
    <w:p w14:paraId="6CD4E22E" w14:textId="77777777" w:rsidR="00E15394" w:rsidRDefault="00F107C2">
      <w:pPr>
        <w:numPr>
          <w:ilvl w:val="0"/>
          <w:numId w:val="1"/>
        </w:numPr>
        <w:spacing w:after="0" w:line="259" w:lineRule="auto"/>
        <w:jc w:val="both"/>
        <w:rPr>
          <w:color w:val="434343"/>
        </w:rPr>
      </w:pPr>
      <w:r>
        <w:rPr>
          <w:color w:val="434343"/>
        </w:rPr>
        <w:t>Supported</w:t>
      </w:r>
      <w:r>
        <w:rPr>
          <w:color w:val="434343"/>
        </w:rPr>
        <w:t xml:space="preserve"> the Central Laboratories to achieve Health Care Accreditation Council accreditation.</w:t>
      </w:r>
    </w:p>
    <w:p w14:paraId="3DF5EA29" w14:textId="77777777" w:rsidR="00E15394" w:rsidRDefault="00F107C2">
      <w:pPr>
        <w:keepLines/>
        <w:widowControl w:val="0"/>
        <w:numPr>
          <w:ilvl w:val="0"/>
          <w:numId w:val="1"/>
        </w:numPr>
        <w:spacing w:after="200"/>
        <w:rPr>
          <w:color w:val="434343"/>
        </w:rPr>
      </w:pPr>
      <w:r>
        <w:rPr>
          <w:color w:val="434343"/>
        </w:rPr>
        <w:t>Trained more than 17,000 healthcare workers from the public and private sector on COVID-19 case management.</w:t>
      </w:r>
    </w:p>
    <w:p w14:paraId="1E24ECA8" w14:textId="77777777" w:rsidR="00E15394" w:rsidRDefault="00F107C2">
      <w:pPr>
        <w:keepLines/>
        <w:widowControl w:val="0"/>
        <w:numPr>
          <w:ilvl w:val="0"/>
          <w:numId w:val="1"/>
        </w:numPr>
        <w:spacing w:after="200"/>
        <w:rPr>
          <w:color w:val="434343"/>
        </w:rPr>
      </w:pPr>
      <w:r>
        <w:rPr>
          <w:color w:val="434343"/>
        </w:rPr>
        <w:t xml:space="preserve">In partnership with the MOH, created a call center to provide </w:t>
      </w:r>
      <w:r>
        <w:rPr>
          <w:color w:val="434343"/>
        </w:rPr>
        <w:t>virtual health care to mild to moderate COVID-19 cases, answer general public questions, and follow up with COVID-19 vaccine recipients who reported rare adverse side effects. With USAID support, the Jordan Nurses and Midwives Council hired 450 nurses to m</w:t>
      </w:r>
      <w:r>
        <w:rPr>
          <w:color w:val="434343"/>
        </w:rPr>
        <w:t>anage the call center’s hotline.</w:t>
      </w:r>
    </w:p>
    <w:sectPr w:rsidR="00E15394">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A820" w14:textId="77777777" w:rsidR="00000000" w:rsidRDefault="00F107C2">
      <w:pPr>
        <w:spacing w:after="0"/>
      </w:pPr>
      <w:r>
        <w:separator/>
      </w:r>
    </w:p>
  </w:endnote>
  <w:endnote w:type="continuationSeparator" w:id="0">
    <w:p w14:paraId="23CA3970" w14:textId="77777777" w:rsidR="00000000" w:rsidRDefault="00F10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017E" w14:textId="77777777" w:rsidR="00E15394" w:rsidRDefault="00F107C2">
    <w:pPr>
      <w:pBdr>
        <w:top w:val="nil"/>
        <w:left w:val="nil"/>
        <w:bottom w:val="nil"/>
        <w:right w:val="nil"/>
        <w:between w:val="nil"/>
      </w:pBdr>
      <w:tabs>
        <w:tab w:val="center" w:pos="4320"/>
        <w:tab w:val="right" w:pos="8640"/>
      </w:tabs>
      <w:spacing w:after="0"/>
      <w:jc w:val="right"/>
      <w:rPr>
        <w:smallCaps/>
        <w:sz w:val="16"/>
        <w:szCs w:val="16"/>
      </w:rPr>
    </w:pPr>
    <w:r>
      <w:rPr>
        <w:smallCaps/>
        <w:sz w:val="16"/>
        <w:szCs w:val="16"/>
      </w:rPr>
      <w:fldChar w:fldCharType="begin"/>
    </w:r>
    <w:r>
      <w:rPr>
        <w:smallCaps/>
        <w:sz w:val="16"/>
        <w:szCs w:val="16"/>
      </w:rPr>
      <w:instrText>PAGE</w:instrText>
    </w:r>
    <w:r>
      <w:rPr>
        <w:smallCaps/>
        <w:sz w:val="16"/>
        <w:szCs w:val="16"/>
      </w:rPr>
      <w:fldChar w:fldCharType="separate"/>
    </w:r>
    <w:r>
      <w:rPr>
        <w:smallCaps/>
        <w:sz w:val="16"/>
        <w:szCs w:val="16"/>
      </w:rPr>
      <w:fldChar w:fldCharType="end"/>
    </w:r>
  </w:p>
  <w:p w14:paraId="3B383097" w14:textId="77777777" w:rsidR="00E15394" w:rsidRDefault="00E15394">
    <w:pPr>
      <w:pBdr>
        <w:top w:val="nil"/>
        <w:left w:val="nil"/>
        <w:bottom w:val="nil"/>
        <w:right w:val="nil"/>
        <w:between w:val="nil"/>
      </w:pBdr>
      <w:tabs>
        <w:tab w:val="center" w:pos="4320"/>
        <w:tab w:val="right" w:pos="8640"/>
      </w:tabs>
      <w:spacing w:after="0"/>
      <w:ind w:right="360"/>
      <w:rPr>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0608" w14:textId="77777777" w:rsidR="00E15394" w:rsidRDefault="00E15394">
    <w:pPr>
      <w:tabs>
        <w:tab w:val="center" w:pos="4320"/>
        <w:tab w:val="right" w:pos="8640"/>
      </w:tabs>
      <w:spacing w:after="0"/>
      <w:rPr>
        <w:sz w:val="18"/>
        <w:szCs w:val="18"/>
        <w:highlight w:val="white"/>
      </w:rPr>
    </w:pPr>
  </w:p>
  <w:p w14:paraId="04920999" w14:textId="77777777" w:rsidR="00E15394" w:rsidRDefault="00E15394">
    <w:pPr>
      <w:tabs>
        <w:tab w:val="center" w:pos="4320"/>
        <w:tab w:val="right" w:pos="8640"/>
      </w:tabs>
      <w:spacing w:after="0"/>
      <w:rPr>
        <w:b/>
        <w:smallCaps/>
        <w:sz w:val="16"/>
        <w:szCs w:val="16"/>
      </w:rPr>
    </w:pPr>
  </w:p>
  <w:p w14:paraId="7186D7E5" w14:textId="77777777" w:rsidR="00E15394" w:rsidRDefault="00F107C2">
    <w:pPr>
      <w:pBdr>
        <w:top w:val="nil"/>
        <w:left w:val="nil"/>
        <w:bottom w:val="nil"/>
        <w:right w:val="nil"/>
        <w:between w:val="nil"/>
      </w:pBdr>
      <w:tabs>
        <w:tab w:val="center" w:pos="4320"/>
        <w:tab w:val="right" w:pos="8640"/>
      </w:tabs>
      <w:spacing w:after="0"/>
      <w:ind w:right="360"/>
      <w:rPr>
        <w:color w:val="B7B7B7"/>
        <w:sz w:val="18"/>
        <w:szCs w:val="18"/>
        <w:highlight w:val="white"/>
      </w:rPr>
    </w:pPr>
    <w:r>
      <w:rPr>
        <w:smallCaps/>
        <w:sz w:val="18"/>
        <w:szCs w:val="18"/>
      </w:rPr>
      <w:t>usaid.go</w:t>
    </w:r>
    <w:r>
      <w:rPr>
        <w:smallCaps/>
        <w:sz w:val="18"/>
        <w:szCs w:val="18"/>
      </w:rPr>
      <w:t>v</w:t>
    </w:r>
    <w:r>
      <w:rPr>
        <w:sz w:val="18"/>
        <w:szCs w:val="18"/>
        <w:highlight w:val="white"/>
      </w:rPr>
      <w:tab/>
    </w:r>
    <w:r>
      <w:rPr>
        <w:sz w:val="18"/>
        <w:szCs w:val="18"/>
        <w:highlight w:val="white"/>
      </w:rPr>
      <w:tab/>
      <w:t xml:space="preserve">   </w:t>
    </w:r>
    <w:r>
      <w:rPr>
        <w:sz w:val="18"/>
        <w:szCs w:val="18"/>
        <w:highlight w:val="white"/>
      </w:rPr>
      <w:fldChar w:fldCharType="begin"/>
    </w:r>
    <w:r>
      <w:rPr>
        <w:sz w:val="18"/>
        <w:szCs w:val="18"/>
        <w:highlight w:val="white"/>
      </w:rPr>
      <w:instrText>PAGE</w:instrText>
    </w:r>
    <w:r>
      <w:rPr>
        <w:sz w:val="18"/>
        <w:szCs w:val="18"/>
        <w:highlight w:val="white"/>
      </w:rPr>
      <w:fldChar w:fldCharType="separate"/>
    </w:r>
    <w:r>
      <w:rPr>
        <w:noProof/>
        <w:sz w:val="18"/>
        <w:szCs w:val="18"/>
        <w:highlight w:val="white"/>
      </w:rPr>
      <w:t>2</w:t>
    </w:r>
    <w:r>
      <w:rPr>
        <w:sz w:val="18"/>
        <w:szCs w:val="18"/>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DFC7" w14:textId="77777777" w:rsidR="00E15394" w:rsidRDefault="00F107C2">
    <w:pPr>
      <w:tabs>
        <w:tab w:val="center" w:pos="4320"/>
        <w:tab w:val="right" w:pos="8640"/>
      </w:tabs>
      <w:spacing w:after="0"/>
      <w:ind w:right="360"/>
      <w:jc w:val="right"/>
      <w:rPr>
        <w:color w:val="B7B7B7"/>
        <w:sz w:val="16"/>
        <w:szCs w:val="16"/>
        <w:highlight w:val="white"/>
      </w:rPr>
    </w:pPr>
    <w:r>
      <w:rPr>
        <w:smallCaps/>
        <w:sz w:val="18"/>
        <w:szCs w:val="18"/>
      </w:rPr>
      <w:t>usaid.gov</w:t>
    </w:r>
    <w:r>
      <w:rPr>
        <w:smallCaps/>
        <w:sz w:val="18"/>
        <w:szCs w:val="18"/>
      </w:rPr>
      <w:tab/>
    </w:r>
    <w:r>
      <w:rPr>
        <w:smallCaps/>
        <w:sz w:val="18"/>
        <w:szCs w:val="18"/>
      </w:rPr>
      <w:tab/>
    </w:r>
    <w:r>
      <w:rPr>
        <w:color w:val="B7B7B7"/>
        <w:sz w:val="16"/>
        <w:szCs w:val="16"/>
        <w:highlight w:val="white"/>
      </w:rPr>
      <w:fldChar w:fldCharType="begin"/>
    </w:r>
    <w:r>
      <w:rPr>
        <w:color w:val="B7B7B7"/>
        <w:sz w:val="16"/>
        <w:szCs w:val="16"/>
        <w:highlight w:val="white"/>
      </w:rPr>
      <w:instrText>PAGE</w:instrText>
    </w:r>
    <w:r>
      <w:rPr>
        <w:color w:val="B7B7B7"/>
        <w:sz w:val="16"/>
        <w:szCs w:val="16"/>
        <w:highlight w:val="white"/>
      </w:rPr>
      <w:fldChar w:fldCharType="separate"/>
    </w:r>
    <w:r>
      <w:rPr>
        <w:noProof/>
        <w:color w:val="B7B7B7"/>
        <w:sz w:val="16"/>
        <w:szCs w:val="16"/>
        <w:highlight w:val="white"/>
      </w:rPr>
      <w:t>1</w:t>
    </w:r>
    <w:r>
      <w:rPr>
        <w:color w:val="B7B7B7"/>
        <w:sz w:val="16"/>
        <w:szCs w:val="16"/>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A0A2" w14:textId="77777777" w:rsidR="00000000" w:rsidRDefault="00F107C2">
      <w:pPr>
        <w:spacing w:after="0"/>
      </w:pPr>
      <w:r>
        <w:separator/>
      </w:r>
    </w:p>
  </w:footnote>
  <w:footnote w:type="continuationSeparator" w:id="0">
    <w:p w14:paraId="4C8928EE" w14:textId="77777777" w:rsidR="00000000" w:rsidRDefault="00F107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4110" w14:textId="77777777" w:rsidR="00E15394" w:rsidRDefault="00E15394">
    <w:pPr>
      <w:jc w:val="right"/>
      <w:rPr>
        <w:color w:val="B7B7B7"/>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1465" w14:textId="77777777" w:rsidR="00E15394" w:rsidRDefault="00F107C2">
    <w:pPr>
      <w:rPr>
        <w:color w:val="FF0000"/>
      </w:rPr>
    </w:pPr>
    <w:r>
      <w:rPr>
        <w:noProof/>
      </w:rPr>
      <w:drawing>
        <wp:anchor distT="0" distB="0" distL="0" distR="0" simplePos="0" relativeHeight="251658240" behindDoc="0" locked="0" layoutInCell="1" hidden="0" allowOverlap="1" wp14:anchorId="70B43438" wp14:editId="4C444912">
          <wp:simplePos x="0" y="0"/>
          <wp:positionH relativeFrom="column">
            <wp:posOffset>-523871</wp:posOffset>
          </wp:positionH>
          <wp:positionV relativeFrom="paragraph">
            <wp:posOffset>-57147</wp:posOffset>
          </wp:positionV>
          <wp:extent cx="2128644" cy="83343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8644" cy="833438"/>
                  </a:xfrm>
                  <a:prstGeom prst="rect">
                    <a:avLst/>
                  </a:prstGeom>
                  <a:ln/>
                </pic:spPr>
              </pic:pic>
            </a:graphicData>
          </a:graphic>
        </wp:anchor>
      </w:drawing>
    </w:r>
  </w:p>
  <w:p w14:paraId="54941B71" w14:textId="77777777" w:rsidR="00E15394" w:rsidRDefault="00F107C2">
    <w:pPr>
      <w:jc w:val="right"/>
      <w:rPr>
        <w:color w:val="FF0000"/>
      </w:rPr>
    </w:pPr>
    <w:r>
      <w:rPr>
        <w:noProof/>
        <w:color w:val="FF0000"/>
      </w:rPr>
      <w:drawing>
        <wp:anchor distT="0" distB="0" distL="0" distR="0" simplePos="0" relativeHeight="251659264" behindDoc="1" locked="0" layoutInCell="1" hidden="0" allowOverlap="1" wp14:anchorId="72B413C6" wp14:editId="016783C7">
          <wp:simplePos x="0" y="0"/>
          <wp:positionH relativeFrom="page">
            <wp:posOffset>-119062</wp:posOffset>
          </wp:positionH>
          <wp:positionV relativeFrom="page">
            <wp:posOffset>1409700</wp:posOffset>
          </wp:positionV>
          <wp:extent cx="8010525" cy="319087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594" t="23469" r="-594" b="46655"/>
                  <a:stretch>
                    <a:fillRect/>
                  </a:stretch>
                </pic:blipFill>
                <pic:spPr>
                  <a:xfrm>
                    <a:off x="0" y="0"/>
                    <a:ext cx="8010525" cy="3190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99B"/>
    <w:multiLevelType w:val="multilevel"/>
    <w:tmpl w:val="42AE9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788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94"/>
    <w:rsid w:val="00E15394"/>
    <w:rsid w:val="00F10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20BB"/>
  <w15:docId w15:val="{81A40C2B-D046-4400-AA5C-DF5F3521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color w:val="6C6463"/>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60" w:after="120"/>
      <w:outlineLvl w:val="0"/>
    </w:pPr>
    <w:rPr>
      <w:b/>
      <w:smallCaps/>
      <w:color w:val="C2113A"/>
      <w:sz w:val="28"/>
      <w:szCs w:val="28"/>
    </w:rPr>
  </w:style>
  <w:style w:type="paragraph" w:styleId="Heading2">
    <w:name w:val="heading 2"/>
    <w:basedOn w:val="Normal"/>
    <w:next w:val="Normal"/>
    <w:uiPriority w:val="9"/>
    <w:unhideWhenUsed/>
    <w:qFormat/>
    <w:pPr>
      <w:spacing w:before="360" w:after="120"/>
      <w:outlineLvl w:val="1"/>
    </w:pPr>
    <w:rPr>
      <w:b/>
      <w:smallCaps/>
      <w:color w:val="000000"/>
      <w:sz w:val="20"/>
      <w:szCs w:val="20"/>
    </w:rPr>
  </w:style>
  <w:style w:type="paragraph" w:styleId="Heading3">
    <w:name w:val="heading 3"/>
    <w:basedOn w:val="Normal"/>
    <w:next w:val="Normal"/>
    <w:uiPriority w:val="9"/>
    <w:semiHidden/>
    <w:unhideWhenUsed/>
    <w:qFormat/>
    <w:pPr>
      <w:spacing w:before="360" w:after="120"/>
      <w:outlineLvl w:val="2"/>
    </w:pPr>
    <w:rPr>
      <w:smallCaps/>
      <w:color w:val="C2113A"/>
      <w:sz w:val="20"/>
      <w:szCs w:val="20"/>
    </w:rPr>
  </w:style>
  <w:style w:type="paragraph" w:styleId="Heading4">
    <w:name w:val="heading 4"/>
    <w:basedOn w:val="Normal"/>
    <w:next w:val="Normal"/>
    <w:uiPriority w:val="9"/>
    <w:semiHidden/>
    <w:unhideWhenUsed/>
    <w:qFormat/>
    <w:pPr>
      <w:outlineLvl w:val="3"/>
    </w:pPr>
    <w:rPr>
      <w:b/>
      <w:smallCaps/>
      <w:sz w:val="20"/>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mallCaps/>
      <w:color w:val="C2113A"/>
      <w:sz w:val="52"/>
      <w:szCs w:val="52"/>
    </w:rPr>
  </w:style>
  <w:style w:type="paragraph" w:styleId="Subtitle">
    <w:name w:val="Subtitle"/>
    <w:basedOn w:val="Normal"/>
    <w:next w:val="Normal"/>
    <w:uiPriority w:val="11"/>
    <w:qFormat/>
    <w:pPr>
      <w:spacing w:after="36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xgbEjVmbgHbsl+BlCSbEJz4B1A==">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4</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Arab</dc:creator>
  <cp:lastModifiedBy>Bilal Arab</cp:lastModifiedBy>
  <cp:revision>2</cp:revision>
  <dcterms:created xsi:type="dcterms:W3CDTF">2023-05-28T14:26:00Z</dcterms:created>
  <dcterms:modified xsi:type="dcterms:W3CDTF">2023-05-28T14:26:00Z</dcterms:modified>
</cp:coreProperties>
</file>